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F2D7EC">
      <w:pPr>
        <w:keepNext w:val="0"/>
        <w:keepLines w:val="0"/>
        <w:pageBreakBefore w:val="0"/>
        <w:widowControl w:val="0"/>
        <w:kinsoku/>
        <w:wordWrap/>
        <w:topLinePunct w:val="0"/>
        <w:bidi w:val="0"/>
        <w:adjustRightInd w:val="0"/>
        <w:snapToGrid w:val="0"/>
        <w:spacing w:line="560" w:lineRule="exact"/>
        <w:rPr>
          <w:rFonts w:hint="eastAsia" w:ascii="Times New Roman" w:hAnsi="Times New Roman" w:eastAsia="方正黑体_GBK" w:cs="方正黑体_GBK"/>
          <w:sz w:val="32"/>
          <w:szCs w:val="32"/>
          <w:lang w:val="en-US" w:eastAsia="zh-CN"/>
        </w:rPr>
      </w:pPr>
      <w:r>
        <w:rPr>
          <w:rFonts w:hint="eastAsia" w:ascii="Times New Roman" w:hAnsi="Times New Roman" w:eastAsia="方正黑体_GBK" w:cs="方正黑体_GBK"/>
          <w:sz w:val="32"/>
          <w:szCs w:val="32"/>
          <w:lang w:val="en-US" w:eastAsia="zh-CN"/>
        </w:rPr>
        <w:t>附件</w:t>
      </w:r>
    </w:p>
    <w:p w14:paraId="391EB595">
      <w:pPr>
        <w:keepNext w:val="0"/>
        <w:keepLines w:val="0"/>
        <w:pageBreakBefore w:val="0"/>
        <w:widowControl w:val="0"/>
        <w:kinsoku/>
        <w:wordWrap/>
        <w:overflowPunct w:val="0"/>
        <w:topLinePunct w:val="0"/>
        <w:autoSpaceDE w:val="0"/>
        <w:autoSpaceDN w:val="0"/>
        <w:bidi w:val="0"/>
        <w:adjustRightInd w:val="0"/>
        <w:snapToGrid w:val="0"/>
        <w:spacing w:line="560" w:lineRule="exact"/>
        <w:ind w:left="0" w:leftChars="0" w:right="0" w:rightChars="0" w:firstLine="0" w:firstLineChars="0"/>
        <w:jc w:val="center"/>
        <w:textAlignment w:val="baseline"/>
        <w:outlineLvl w:val="0"/>
        <w:rPr>
          <w:rFonts w:ascii="Times New Roman" w:hAnsi="Times New Roman" w:eastAsia="方正小标宋_GBK" w:cs="方正小标宋_GBK"/>
          <w:sz w:val="44"/>
          <w:szCs w:val="44"/>
        </w:rPr>
      </w:pPr>
      <w:r>
        <w:rPr>
          <w:rFonts w:ascii="Times New Roman" w:hAnsi="Times New Roman" w:eastAsia="方正小标宋_GBK" w:cs="方正小标宋_GBK"/>
          <w:spacing w:val="9"/>
          <w:sz w:val="44"/>
          <w:szCs w:val="44"/>
        </w:rPr>
        <w:t>重庆市稳定外资发展若干措施</w:t>
      </w:r>
    </w:p>
    <w:p w14:paraId="54F7D675">
      <w:pPr>
        <w:keepNext w:val="0"/>
        <w:keepLines w:val="0"/>
        <w:pageBreakBefore w:val="0"/>
        <w:widowControl w:val="0"/>
        <w:kinsoku/>
        <w:wordWrap/>
        <w:overflowPunct w:val="0"/>
        <w:topLinePunct w:val="0"/>
        <w:autoSpaceDE w:val="0"/>
        <w:autoSpaceDN w:val="0"/>
        <w:bidi w:val="0"/>
        <w:adjustRightInd w:val="0"/>
        <w:snapToGrid w:val="0"/>
        <w:spacing w:line="560" w:lineRule="exact"/>
        <w:ind w:left="0" w:leftChars="0" w:right="0" w:rightChars="0" w:firstLine="0" w:firstLineChars="0"/>
        <w:jc w:val="center"/>
        <w:textAlignment w:val="baseline"/>
        <w:rPr>
          <w:rFonts w:ascii="Times New Roman" w:hAnsi="Times New Roman" w:eastAsia="方正楷体_GBK" w:cs="方正楷体_GBK"/>
          <w:sz w:val="32"/>
          <w:szCs w:val="32"/>
        </w:rPr>
      </w:pPr>
      <w:r>
        <w:rPr>
          <w:rFonts w:ascii="Times New Roman" w:hAnsi="Times New Roman" w:eastAsia="方正楷体_GBK" w:cs="方正楷体_GBK"/>
          <w:spacing w:val="12"/>
          <w:sz w:val="32"/>
          <w:szCs w:val="32"/>
        </w:rPr>
        <w:t>（征求意见稿）</w:t>
      </w:r>
    </w:p>
    <w:p w14:paraId="3572C5D9">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24" w:firstLineChars="200"/>
        <w:jc w:val="both"/>
        <w:textAlignment w:val="baseline"/>
        <w:rPr>
          <w:rFonts w:ascii="Times New Roman" w:hAnsi="Times New Roman" w:eastAsia="方正黑体_GBK" w:cs="方正黑体_GBK"/>
          <w:spacing w:val="1"/>
          <w:sz w:val="31"/>
          <w:szCs w:val="31"/>
        </w:rPr>
      </w:pPr>
    </w:p>
    <w:p w14:paraId="6D01A09D">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24"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1"/>
          <w:sz w:val="31"/>
          <w:szCs w:val="31"/>
        </w:rPr>
        <w:t>一、积极争取电信、医疗、教育等领域开放试点</w:t>
      </w:r>
    </w:p>
    <w:p w14:paraId="2D63DB64">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落实电信领域开放政策</w:t>
      </w:r>
      <w:r>
        <w:rPr>
          <w:rFonts w:hint="eastAsia" w:ascii="Times New Roman" w:hAnsi="Times New Roman" w:eastAsia="方正仿宋_GBK" w:cs="方正仿宋_GBK"/>
          <w:snapToGrid w:val="0"/>
          <w:color w:val="000000"/>
          <w:spacing w:val="13"/>
          <w:kern w:val="0"/>
          <w:sz w:val="32"/>
          <w:szCs w:val="32"/>
          <w:lang w:eastAsia="zh-CN"/>
        </w:rPr>
        <w:t>，</w:t>
      </w:r>
      <w:r>
        <w:rPr>
          <w:rFonts w:hint="eastAsia" w:ascii="Times New Roman" w:hAnsi="Times New Roman" w:eastAsia="方正仿宋_GBK" w:cs="方正仿宋_GBK"/>
          <w:snapToGrid w:val="0"/>
          <w:color w:val="000000"/>
          <w:spacing w:val="13"/>
          <w:kern w:val="0"/>
          <w:sz w:val="32"/>
          <w:szCs w:val="32"/>
          <w:lang w:val="en-US" w:eastAsia="zh-CN"/>
        </w:rPr>
        <w:t>落实</w:t>
      </w:r>
      <w:r>
        <w:rPr>
          <w:rFonts w:hint="eastAsia" w:ascii="Times New Roman" w:hAnsi="Times New Roman" w:eastAsia="方正仿宋_GBK" w:cs="方正仿宋_GBK"/>
          <w:snapToGrid w:val="0"/>
          <w:color w:val="000000"/>
          <w:spacing w:val="13"/>
          <w:kern w:val="0"/>
          <w:sz w:val="32"/>
          <w:szCs w:val="32"/>
          <w:lang w:eastAsia="en-US"/>
        </w:rPr>
        <w:t>自贸试验区增值电信业务开放试点政策。密切跟踪国家增值电信业务扩大对外开放试点动态，精准对接试点政策要求</w:t>
      </w:r>
      <w:r>
        <w:rPr>
          <w:rFonts w:ascii="Times New Roman" w:hAnsi="Times New Roman" w:eastAsia="方正仿宋_GBK" w:cs="方正仿宋_GBK"/>
          <w:snapToGrid w:val="0"/>
          <w:color w:val="000000"/>
          <w:spacing w:val="13"/>
          <w:kern w:val="0"/>
          <w:sz w:val="32"/>
          <w:szCs w:val="32"/>
          <w:lang w:eastAsia="en-US"/>
        </w:rPr>
        <w:t>。争取医疗领域试点突破，积极申报外商独资医疗机构设立试点，完善国际医疗服务体系，探索建立与国际接轨的医疗管理标准。推进教育领域开放合作，实施教育开放互鉴共赢行动，支持高校引进世界一流教育资源，重点围绕理工农医类及新重庆建设紧缺学科专业，</w:t>
      </w:r>
      <w:r>
        <w:rPr>
          <w:rFonts w:hint="eastAsia" w:ascii="Times New Roman" w:hAnsi="Times New Roman" w:eastAsia="方正仿宋_GBK" w:cs="方正仿宋_GBK"/>
          <w:snapToGrid w:val="0"/>
          <w:color w:val="000000"/>
          <w:spacing w:val="13"/>
          <w:kern w:val="0"/>
          <w:sz w:val="32"/>
          <w:szCs w:val="32"/>
          <w:lang w:eastAsia="en-US"/>
        </w:rPr>
        <w:t>举办高水平中外合作办学机构和项目</w:t>
      </w:r>
      <w:r>
        <w:rPr>
          <w:rFonts w:ascii="Times New Roman" w:hAnsi="Times New Roman" w:eastAsia="方正仿宋_GBK" w:cs="方正仿宋_GBK"/>
          <w:snapToGrid w:val="0"/>
          <w:color w:val="000000"/>
          <w:spacing w:val="13"/>
          <w:kern w:val="0"/>
          <w:sz w:val="32"/>
          <w:szCs w:val="32"/>
          <w:lang w:eastAsia="en-US"/>
        </w:rPr>
        <w:t>。</w:t>
      </w:r>
      <w:r>
        <w:rPr>
          <w:rFonts w:ascii="Times New Roman" w:hAnsi="Times New Roman" w:eastAsia="方正楷体_GBK" w:cs="方正楷体_GBK"/>
          <w:snapToGrid w:val="0"/>
          <w:color w:val="000000"/>
          <w:spacing w:val="3"/>
          <w:kern w:val="0"/>
          <w:sz w:val="32"/>
          <w:szCs w:val="32"/>
          <w:lang w:eastAsia="en-US"/>
        </w:rPr>
        <w:t>（责任单位：重庆通信管理局、市委网信办、市经济信息委、市卫生健康委、市教委）</w:t>
      </w:r>
    </w:p>
    <w:p w14:paraId="3E658DB0">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8" w:firstLineChars="200"/>
        <w:jc w:val="both"/>
        <w:textAlignment w:val="baseline"/>
        <w:rPr>
          <w:rFonts w:hint="eastAsia" w:ascii="Times New Roman" w:hAnsi="Times New Roman" w:eastAsia="方正黑体_GBK" w:cs="方正黑体_GBK"/>
          <w:sz w:val="31"/>
          <w:szCs w:val="31"/>
          <w:lang w:eastAsia="zh-CN"/>
        </w:rPr>
      </w:pPr>
      <w:r>
        <w:rPr>
          <w:rFonts w:ascii="Times New Roman" w:hAnsi="Times New Roman" w:eastAsia="方正黑体_GBK" w:cs="方正黑体_GBK"/>
          <w:spacing w:val="7"/>
          <w:position w:val="3"/>
          <w:sz w:val="31"/>
          <w:szCs w:val="31"/>
        </w:rPr>
        <w:t>二、</w:t>
      </w:r>
      <w:r>
        <w:rPr>
          <w:rFonts w:hint="eastAsia" w:ascii="Times New Roman" w:hAnsi="Times New Roman" w:eastAsia="方正黑体_GBK" w:cs="方正黑体_GBK"/>
          <w:spacing w:val="7"/>
          <w:position w:val="3"/>
          <w:sz w:val="31"/>
          <w:szCs w:val="31"/>
          <w:lang w:eastAsia="zh-CN"/>
        </w:rPr>
        <w:t>落实</w:t>
      </w:r>
      <w:r>
        <w:rPr>
          <w:rFonts w:ascii="Times New Roman" w:hAnsi="Times New Roman" w:eastAsia="方正黑体_GBK" w:cs="方正黑体_GBK"/>
          <w:spacing w:val="7"/>
          <w:position w:val="3"/>
          <w:sz w:val="31"/>
          <w:szCs w:val="31"/>
        </w:rPr>
        <w:t>全面取消制造业领域外资准入限制</w:t>
      </w:r>
      <w:r>
        <w:rPr>
          <w:rFonts w:hint="eastAsia" w:ascii="Times New Roman" w:hAnsi="Times New Roman" w:eastAsia="方正黑体_GBK" w:cs="方正黑体_GBK"/>
          <w:spacing w:val="7"/>
          <w:position w:val="3"/>
          <w:sz w:val="31"/>
          <w:szCs w:val="31"/>
          <w:lang w:eastAsia="zh-CN"/>
        </w:rPr>
        <w:t>要求</w:t>
      </w:r>
    </w:p>
    <w:p w14:paraId="4EB6ED8F">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left"/>
        <w:textAlignment w:val="baseline"/>
        <w:rPr>
          <w:rFonts w:ascii="Times New Roman" w:hAnsi="Times New Roman" w:eastAsia="方正楷体_GBK" w:cs="方正楷体_GBK"/>
          <w:snapToGrid w:val="0"/>
          <w:color w:val="000000"/>
          <w:spacing w:val="3"/>
          <w:kern w:val="0"/>
          <w:sz w:val="32"/>
          <w:szCs w:val="32"/>
          <w:lang w:eastAsia="en-US"/>
        </w:rPr>
      </w:pPr>
      <w:r>
        <w:rPr>
          <w:rFonts w:hint="eastAsia" w:ascii="Times New Roman" w:hAnsi="Times New Roman" w:eastAsia="方正仿宋_GBK" w:cs="方正仿宋_GBK"/>
          <w:snapToGrid w:val="0"/>
          <w:color w:val="000000"/>
          <w:spacing w:val="13"/>
          <w:kern w:val="0"/>
          <w:sz w:val="32"/>
          <w:szCs w:val="32"/>
          <w:lang w:eastAsia="en-US"/>
        </w:rPr>
        <w:t>持续做好将外商投资准入特别管理措施（负面清单）、政府核准的投资项目目录等嵌入全市投资项目在线服务监管平台工作，以数字自动化方式帮助外资企业办理核准备案。</w:t>
      </w:r>
      <w:r>
        <w:rPr>
          <w:rFonts w:ascii="Times New Roman" w:hAnsi="Times New Roman" w:eastAsia="方正仿宋_GBK" w:cs="方正仿宋_GBK"/>
          <w:snapToGrid w:val="0"/>
          <w:color w:val="000000"/>
          <w:spacing w:val="13"/>
          <w:kern w:val="0"/>
          <w:sz w:val="32"/>
          <w:szCs w:val="32"/>
          <w:lang w:eastAsia="en-US"/>
        </w:rPr>
        <w:t>外资准入负面清单之外的领域，严格按照内外资一致的原则对外资准入实施管理。升级外资登记注册业务系统，建立负面清单与经营范围的智能关联校验机制，增设申请端与审核端的双向警示功能，确保准入管理规范透明。全面对接落实新版市场准入负面清单制度，深化市场准入效能评估，“以评促改”推动“非禁即入”有效落实。</w:t>
      </w:r>
      <w:r>
        <w:rPr>
          <w:rFonts w:ascii="Times New Roman" w:hAnsi="Times New Roman" w:eastAsia="方正楷体_GBK" w:cs="方正楷体_GBK"/>
          <w:snapToGrid w:val="0"/>
          <w:color w:val="000000"/>
          <w:spacing w:val="3"/>
          <w:kern w:val="0"/>
          <w:sz w:val="32"/>
          <w:szCs w:val="32"/>
          <w:lang w:eastAsia="en-US"/>
        </w:rPr>
        <w:t>（责任单位：市市场监管局、市商务委、市发展改革委）</w:t>
      </w:r>
    </w:p>
    <w:p w14:paraId="40D6FB37">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position w:val="3"/>
          <w:sz w:val="31"/>
          <w:szCs w:val="31"/>
        </w:rPr>
        <w:t>三、深化重庆市服务业扩大开放综合试点</w:t>
      </w:r>
    </w:p>
    <w:p w14:paraId="2B5CD328">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出台全市深化创新工作方案。滚动确定试点重点园区、重点项目、创新案例，及时复制推广国家试点经验。用好电信、医疗、教育等领域试点政策，积极引进培训、医疗、养老、文旅、研发等重点领域外资项目。落实国家标准化建设推进制度型开放任务清单，建立国际标准化工作机制，鼓励外资企业参与标准建设，积极引进国际标准组织、机构、活动，加强国际标准对接、制修订、合作。</w:t>
      </w:r>
      <w:r>
        <w:rPr>
          <w:rFonts w:ascii="Times New Roman" w:hAnsi="Times New Roman" w:eastAsia="方正楷体_GBK" w:cs="方正楷体_GBK"/>
          <w:snapToGrid w:val="0"/>
          <w:color w:val="000000"/>
          <w:spacing w:val="3"/>
          <w:kern w:val="0"/>
          <w:sz w:val="32"/>
          <w:szCs w:val="32"/>
          <w:lang w:eastAsia="en-US"/>
        </w:rPr>
        <w:t>（责任单位：市商务委）</w:t>
      </w:r>
    </w:p>
    <w:p w14:paraId="28C3CD62">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2"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3"/>
          <w:position w:val="3"/>
          <w:sz w:val="31"/>
          <w:szCs w:val="31"/>
        </w:rPr>
        <w:t>四、持续推动医疗领域扩大开放</w:t>
      </w:r>
    </w:p>
    <w:p w14:paraId="0984B543">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val="en-US" w:eastAsia="en-US" w:bidi="ar-SA"/>
        </w:rPr>
      </w:pPr>
      <w:r>
        <w:rPr>
          <w:rFonts w:ascii="Times New Roman" w:hAnsi="Times New Roman" w:eastAsia="方正仿宋_GBK" w:cs="方正仿宋_GBK"/>
          <w:snapToGrid w:val="0"/>
          <w:color w:val="000000"/>
          <w:spacing w:val="13"/>
          <w:kern w:val="0"/>
          <w:sz w:val="32"/>
          <w:szCs w:val="32"/>
          <w:lang w:val="en-US" w:eastAsia="en-US" w:bidi="ar-SA"/>
        </w:rPr>
        <w:t>争取外商投资企业从事基因诊疗、干细胞等领域开放。出台《加快生物医药产业发展若干措施》，建立“基础研究-科研转化-临床试验-示范应用-综合评价”的全链条服务体系。搭建常态化院企交流平台，积极开展院长行、阳光推介等对接活动。</w:t>
      </w:r>
      <w:r>
        <w:rPr>
          <w:rFonts w:hint="eastAsia" w:ascii="Times New Roman" w:hAnsi="Times New Roman" w:eastAsia="方正仿宋_GBK" w:cs="方正仿宋_GBK"/>
          <w:snapToGrid w:val="0"/>
          <w:color w:val="000000"/>
          <w:spacing w:val="13"/>
          <w:kern w:val="0"/>
          <w:sz w:val="32"/>
          <w:szCs w:val="32"/>
          <w:lang w:val="en-US" w:eastAsia="en-US" w:bidi="ar-SA"/>
        </w:rPr>
        <w:t>推动出台我市药品医疗器械产业高质量发展相关措施</w:t>
      </w:r>
      <w:r>
        <w:rPr>
          <w:rFonts w:ascii="Times New Roman" w:hAnsi="Times New Roman" w:eastAsia="方正仿宋_GBK" w:cs="方正仿宋_GBK"/>
          <w:snapToGrid w:val="0"/>
          <w:color w:val="000000"/>
          <w:spacing w:val="13"/>
          <w:kern w:val="0"/>
          <w:sz w:val="32"/>
          <w:szCs w:val="32"/>
          <w:lang w:val="en-US" w:eastAsia="en-US" w:bidi="ar-SA"/>
        </w:rPr>
        <w:t>，深化药品审评审批制度改革，落实创新医药产品注册申报专人对接，推动压缩药品补充申请审评时限；完善研发用物品进口“白名单”，推动研发用物品快速清关。</w:t>
      </w:r>
      <w:r>
        <w:rPr>
          <w:rFonts w:ascii="Times New Roman" w:hAnsi="Times New Roman" w:eastAsia="方正楷体_GBK" w:cs="方正楷体_GBK"/>
          <w:snapToGrid w:val="0"/>
          <w:color w:val="000000"/>
          <w:spacing w:val="3"/>
          <w:kern w:val="0"/>
          <w:sz w:val="32"/>
          <w:szCs w:val="32"/>
          <w:lang w:val="en-US" w:eastAsia="en-US" w:bidi="ar-SA"/>
        </w:rPr>
        <w:t>（责任单位：市药监局、市卫生健康委</w:t>
      </w:r>
      <w:r>
        <w:rPr>
          <w:rFonts w:hint="eastAsia" w:ascii="Times New Roman" w:hAnsi="Times New Roman" w:eastAsia="方正楷体_GBK" w:cs="方正楷体_GBK"/>
          <w:snapToGrid w:val="0"/>
          <w:color w:val="000000"/>
          <w:spacing w:val="3"/>
          <w:kern w:val="0"/>
          <w:sz w:val="32"/>
          <w:szCs w:val="32"/>
          <w:lang w:val="en-US" w:eastAsia="zh-CN" w:bidi="ar-SA"/>
        </w:rPr>
        <w:t>、市商务委</w:t>
      </w:r>
      <w:r>
        <w:rPr>
          <w:rFonts w:ascii="Times New Roman" w:hAnsi="Times New Roman" w:eastAsia="方正楷体_GBK" w:cs="方正楷体_GBK"/>
          <w:snapToGrid w:val="0"/>
          <w:color w:val="000000"/>
          <w:spacing w:val="3"/>
          <w:kern w:val="0"/>
          <w:sz w:val="32"/>
          <w:szCs w:val="32"/>
          <w:lang w:val="en-US" w:eastAsia="en-US" w:bidi="ar-SA"/>
        </w:rPr>
        <w:t>）</w:t>
      </w:r>
    </w:p>
    <w:p w14:paraId="11A6816B">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4"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6"/>
          <w:position w:val="3"/>
          <w:sz w:val="31"/>
          <w:szCs w:val="31"/>
        </w:rPr>
        <w:t>五、鼓励外资在</w:t>
      </w:r>
      <w:r>
        <w:rPr>
          <w:rFonts w:hint="eastAsia" w:ascii="Times New Roman" w:hAnsi="Times New Roman" w:eastAsia="方正黑体_GBK" w:cs="方正黑体_GBK"/>
          <w:spacing w:val="6"/>
          <w:position w:val="3"/>
          <w:sz w:val="31"/>
          <w:szCs w:val="31"/>
          <w:lang w:eastAsia="zh-CN"/>
        </w:rPr>
        <w:t>渝</w:t>
      </w:r>
      <w:r>
        <w:rPr>
          <w:rFonts w:ascii="Times New Roman" w:hAnsi="Times New Roman" w:eastAsia="方正黑体_GBK" w:cs="方正黑体_GBK"/>
          <w:spacing w:val="6"/>
          <w:position w:val="3"/>
          <w:sz w:val="31"/>
          <w:szCs w:val="31"/>
        </w:rPr>
        <w:t>开展股权投资</w:t>
      </w:r>
    </w:p>
    <w:p w14:paraId="305CCC5F">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贯彻落实《外国投资者对上市公司战略投资管理办法》，加大对上市公司、境外基金和投资机构等的宣介力度，梳理股权投资机会清单，搭建项目对接信息平台，引导更多优质外资长期投资我上市公司。</w:t>
      </w:r>
      <w:r>
        <w:rPr>
          <w:rFonts w:ascii="Times New Roman" w:hAnsi="Times New Roman" w:eastAsia="方正楷体_GBK" w:cs="方正楷体_GBK"/>
          <w:snapToGrid w:val="0"/>
          <w:color w:val="000000"/>
          <w:spacing w:val="3"/>
          <w:kern w:val="0"/>
          <w:sz w:val="32"/>
          <w:szCs w:val="32"/>
          <w:lang w:eastAsia="en-US"/>
        </w:rPr>
        <w:t>（责任单位：</w:t>
      </w:r>
      <w:r>
        <w:rPr>
          <w:rFonts w:hint="eastAsia" w:ascii="Times New Roman" w:hAnsi="Times New Roman" w:eastAsia="方正楷体_GBK" w:cs="方正楷体_GBK"/>
          <w:snapToGrid w:val="0"/>
          <w:color w:val="000000"/>
          <w:spacing w:val="3"/>
          <w:kern w:val="0"/>
          <w:sz w:val="32"/>
          <w:szCs w:val="32"/>
          <w:lang w:val="en-US" w:eastAsia="zh-CN"/>
        </w:rPr>
        <w:t>市商务委</w:t>
      </w:r>
      <w:r>
        <w:rPr>
          <w:rFonts w:ascii="Times New Roman" w:hAnsi="Times New Roman" w:eastAsia="方正楷体_GBK" w:cs="方正楷体_GBK"/>
          <w:snapToGrid w:val="0"/>
          <w:color w:val="000000"/>
          <w:spacing w:val="3"/>
          <w:kern w:val="0"/>
          <w:sz w:val="32"/>
          <w:szCs w:val="32"/>
          <w:lang w:eastAsia="en-US"/>
        </w:rPr>
        <w:t>、</w:t>
      </w:r>
      <w:r>
        <w:rPr>
          <w:rFonts w:hint="eastAsia" w:ascii="Times New Roman" w:hAnsi="Times New Roman" w:eastAsia="方正楷体_GBK" w:cs="方正楷体_GBK"/>
          <w:snapToGrid w:val="0"/>
          <w:color w:val="000000"/>
          <w:spacing w:val="3"/>
          <w:kern w:val="0"/>
          <w:sz w:val="32"/>
          <w:szCs w:val="32"/>
          <w:lang w:eastAsia="zh-CN"/>
        </w:rPr>
        <w:t>重庆</w:t>
      </w:r>
      <w:r>
        <w:rPr>
          <w:rFonts w:hint="default" w:ascii="Times New Roman" w:hAnsi="Times New Roman" w:eastAsia="方正楷体_GBK" w:cs="方正楷体_GBK"/>
          <w:snapToGrid w:val="0"/>
          <w:color w:val="000000"/>
          <w:spacing w:val="3"/>
          <w:kern w:val="0"/>
          <w:sz w:val="32"/>
          <w:szCs w:val="32"/>
          <w:lang w:val="en-US" w:eastAsia="zh-CN"/>
        </w:rPr>
        <w:t>证监局</w:t>
      </w:r>
      <w:r>
        <w:rPr>
          <w:rFonts w:hint="eastAsia" w:ascii="Times New Roman" w:hAnsi="Times New Roman" w:eastAsia="方正楷体_GBK" w:cs="方正楷体_GBK"/>
          <w:snapToGrid w:val="0"/>
          <w:color w:val="000000"/>
          <w:spacing w:val="3"/>
          <w:kern w:val="0"/>
          <w:sz w:val="32"/>
          <w:szCs w:val="32"/>
          <w:lang w:val="en-US" w:eastAsia="zh-CN"/>
        </w:rPr>
        <w:t>、市国资委、重庆市税务局、市市场监管局、</w:t>
      </w:r>
      <w:r>
        <w:rPr>
          <w:rFonts w:hint="eastAsia" w:ascii="Times New Roman" w:hAnsi="Times New Roman" w:eastAsia="方正楷体_GBK" w:cs="方正楷体_GBK"/>
          <w:snapToGrid w:val="0"/>
          <w:color w:val="000000"/>
          <w:spacing w:val="3"/>
          <w:kern w:val="0"/>
          <w:sz w:val="32"/>
          <w:szCs w:val="32"/>
          <w:lang w:eastAsia="zh-CN"/>
        </w:rPr>
        <w:t>人行重庆市分行、</w:t>
      </w:r>
      <w:r>
        <w:rPr>
          <w:rFonts w:hint="eastAsia" w:ascii="Times New Roman" w:hAnsi="Times New Roman" w:eastAsia="方正楷体_GBK" w:cs="方正楷体_GBK"/>
          <w:snapToGrid w:val="0"/>
          <w:color w:val="000000"/>
          <w:spacing w:val="3"/>
          <w:kern w:val="0"/>
          <w:sz w:val="32"/>
          <w:szCs w:val="32"/>
          <w:lang w:val="en-US" w:eastAsia="zh-CN"/>
        </w:rPr>
        <w:t>市委金融办</w:t>
      </w:r>
      <w:r>
        <w:rPr>
          <w:rFonts w:ascii="Times New Roman" w:hAnsi="Times New Roman" w:eastAsia="方正楷体_GBK" w:cs="方正楷体_GBK"/>
          <w:snapToGrid w:val="0"/>
          <w:color w:val="000000"/>
          <w:spacing w:val="3"/>
          <w:kern w:val="0"/>
          <w:sz w:val="32"/>
          <w:szCs w:val="32"/>
          <w:lang w:eastAsia="en-US"/>
        </w:rPr>
        <w:t>）</w:t>
      </w:r>
    </w:p>
    <w:p w14:paraId="324912C2">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6"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4"/>
          <w:sz w:val="31"/>
          <w:szCs w:val="31"/>
        </w:rPr>
        <w:t>六、</w:t>
      </w:r>
      <w:r>
        <w:rPr>
          <w:rFonts w:ascii="Times New Roman" w:hAnsi="Times New Roman" w:eastAsia="方正黑体_GBK" w:cs="方正黑体_GBK"/>
          <w:color w:val="0D0D0D"/>
          <w:spacing w:val="4"/>
          <w:sz w:val="31"/>
          <w:szCs w:val="31"/>
        </w:rPr>
        <w:t>持续打造</w:t>
      </w:r>
      <w:r>
        <w:rPr>
          <w:rFonts w:ascii="Times New Roman" w:hAnsi="Times New Roman" w:eastAsia="Times New Roman" w:cs="Times New Roman"/>
          <w:color w:val="0D0D0D"/>
          <w:spacing w:val="4"/>
          <w:sz w:val="31"/>
          <w:szCs w:val="31"/>
        </w:rPr>
        <w:t>“</w:t>
      </w:r>
      <w:r>
        <w:rPr>
          <w:rFonts w:ascii="Times New Roman" w:hAnsi="Times New Roman" w:eastAsia="方正黑体_GBK" w:cs="方正黑体_GBK"/>
          <w:color w:val="0D0D0D"/>
          <w:spacing w:val="4"/>
          <w:sz w:val="31"/>
          <w:szCs w:val="31"/>
        </w:rPr>
        <w:t>投资重庆</w:t>
      </w:r>
      <w:r>
        <w:rPr>
          <w:rFonts w:ascii="Times New Roman" w:hAnsi="Times New Roman" w:eastAsia="Times New Roman" w:cs="Times New Roman"/>
          <w:color w:val="0D0D0D"/>
          <w:spacing w:val="4"/>
          <w:sz w:val="31"/>
          <w:szCs w:val="31"/>
        </w:rPr>
        <w:t>”</w:t>
      </w:r>
      <w:r>
        <w:rPr>
          <w:rFonts w:ascii="Times New Roman" w:hAnsi="Times New Roman" w:eastAsia="方正黑体_GBK" w:cs="方正黑体_GBK"/>
          <w:color w:val="0D0D0D"/>
          <w:spacing w:val="4"/>
          <w:sz w:val="31"/>
          <w:szCs w:val="31"/>
        </w:rPr>
        <w:t>品牌</w:t>
      </w:r>
    </w:p>
    <w:p w14:paraId="14222D7A">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z w:val="22"/>
          <w:szCs w:val="28"/>
        </w:rPr>
      </w:pPr>
      <w:r>
        <w:rPr>
          <w:rFonts w:ascii="Times New Roman" w:hAnsi="Times New Roman" w:eastAsia="方正仿宋_GBK" w:cs="方正仿宋_GBK"/>
          <w:snapToGrid w:val="0"/>
          <w:color w:val="000000"/>
          <w:spacing w:val="13"/>
          <w:kern w:val="0"/>
          <w:sz w:val="32"/>
          <w:szCs w:val="32"/>
          <w:lang w:eastAsia="en-US"/>
        </w:rPr>
        <w:t>支持外资企业深度参与“投资重庆·渝见商机”专题招商活动，建立重点客商资源库，实施招商项目全生命周期管理，优化企业品牌推介、项目展示、资源对接等全流程服务。精细谋划市长国际经济顾问团会议、跨国公司重庆行、领事机构区县行等重点外资投资促进活动。加强市区联动，依托西洽会、智博会等推介</w:t>
      </w:r>
      <w:r>
        <w:rPr>
          <w:rFonts w:hint="eastAsia" w:ascii="Times New Roman" w:hAnsi="Times New Roman" w:eastAsia="方正仿宋_GBK" w:cs="方正仿宋_GBK"/>
          <w:snapToGrid w:val="0"/>
          <w:color w:val="000000"/>
          <w:spacing w:val="13"/>
          <w:kern w:val="0"/>
          <w:sz w:val="32"/>
          <w:szCs w:val="32"/>
          <w:lang w:eastAsia="zh-CN"/>
        </w:rPr>
        <w:t>外商</w:t>
      </w:r>
      <w:r>
        <w:rPr>
          <w:rFonts w:ascii="Times New Roman" w:hAnsi="Times New Roman" w:eastAsia="方正仿宋_GBK" w:cs="方正仿宋_GBK"/>
          <w:snapToGrid w:val="0"/>
          <w:color w:val="000000"/>
          <w:spacing w:val="13"/>
          <w:kern w:val="0"/>
          <w:sz w:val="32"/>
          <w:szCs w:val="32"/>
          <w:lang w:eastAsia="en-US"/>
        </w:rPr>
        <w:t>投资机遇，深度参与“投资中国”品牌打造，提升活动影响力。</w:t>
      </w:r>
      <w:r>
        <w:rPr>
          <w:rFonts w:ascii="Times New Roman" w:hAnsi="Times New Roman" w:eastAsia="方正楷体_GBK" w:cs="方正楷体_GBK"/>
          <w:snapToGrid w:val="0"/>
          <w:color w:val="000000"/>
          <w:spacing w:val="3"/>
          <w:kern w:val="0"/>
          <w:sz w:val="32"/>
          <w:szCs w:val="32"/>
          <w:lang w:eastAsia="en-US"/>
        </w:rPr>
        <w:t>（责任单位：市商务委、市经济信息委、市发展改革委）</w:t>
      </w:r>
    </w:p>
    <w:p w14:paraId="36619756">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8"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7"/>
          <w:position w:val="3"/>
          <w:sz w:val="31"/>
          <w:szCs w:val="31"/>
        </w:rPr>
        <w:t>七、加大外资企业境内再投资支持力度</w:t>
      </w:r>
    </w:p>
    <w:p w14:paraId="67264ACD">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积极推动外资企业再投资，对外资企业再投资的重大项目，实行用地计划分级保障、市级统筹、应保尽保。在符合规划、不改变用途的前提下，支持外资企业在自有工业用地范围内进行厂房改建、场地扩容等升级改造，容积率调整不再补缴土地价款。</w:t>
      </w:r>
      <w:r>
        <w:rPr>
          <w:rFonts w:hint="eastAsia" w:ascii="Times New Roman" w:hAnsi="Times New Roman" w:eastAsia="方正仿宋_GBK" w:cs="方正仿宋_GBK"/>
          <w:snapToGrid w:val="0"/>
          <w:color w:val="000000"/>
          <w:spacing w:val="13"/>
          <w:kern w:val="0"/>
          <w:sz w:val="32"/>
          <w:szCs w:val="32"/>
          <w:lang w:eastAsia="en-US"/>
        </w:rPr>
        <w:t>严格执行境外投资者以分配利润直接投资暂不征收预提所得税政策，持续升级税费服务机制，优化外商营商环境</w:t>
      </w:r>
      <w:r>
        <w:rPr>
          <w:rFonts w:ascii="Times New Roman" w:hAnsi="Times New Roman" w:eastAsia="方正仿宋_GBK" w:cs="方正仿宋_GBK"/>
          <w:snapToGrid w:val="0"/>
          <w:color w:val="000000"/>
          <w:spacing w:val="13"/>
          <w:kern w:val="0"/>
          <w:sz w:val="32"/>
          <w:szCs w:val="32"/>
          <w:lang w:eastAsia="en-US"/>
        </w:rPr>
        <w:t>。实施再投资引导工程，支持境外投资者通过境内现有外资企业开展再投资。</w:t>
      </w:r>
      <w:r>
        <w:rPr>
          <w:rFonts w:hint="eastAsia" w:ascii="Times New Roman" w:hAnsi="Times New Roman" w:eastAsia="方正仿宋_GBK" w:cs="方正仿宋_GBK"/>
          <w:snapToGrid w:val="0"/>
          <w:color w:val="000000"/>
          <w:spacing w:val="13"/>
          <w:kern w:val="0"/>
          <w:sz w:val="32"/>
          <w:szCs w:val="32"/>
          <w:lang w:eastAsia="en-US"/>
        </w:rPr>
        <w:t>外商直接投资企业使用人民币资本金境内再投资，被投资企业无需开立人民币资本金专用存款账户。</w:t>
      </w:r>
      <w:r>
        <w:rPr>
          <w:rFonts w:ascii="Times New Roman" w:hAnsi="Times New Roman" w:eastAsia="方正楷体_GBK" w:cs="方正楷体_GBK"/>
          <w:snapToGrid w:val="0"/>
          <w:color w:val="000000"/>
          <w:spacing w:val="3"/>
          <w:kern w:val="0"/>
          <w:sz w:val="32"/>
          <w:szCs w:val="32"/>
          <w:lang w:eastAsia="en-US"/>
        </w:rPr>
        <w:t>（责任单位：市商务委、重庆市税务局、市市场监管局、市规划自然资源局</w:t>
      </w:r>
      <w:r>
        <w:rPr>
          <w:rFonts w:hint="eastAsia" w:ascii="Times New Roman" w:hAnsi="Times New Roman" w:eastAsia="方正楷体_GBK" w:cs="方正楷体_GBK"/>
          <w:snapToGrid w:val="0"/>
          <w:color w:val="000000"/>
          <w:spacing w:val="3"/>
          <w:kern w:val="0"/>
          <w:sz w:val="32"/>
          <w:szCs w:val="32"/>
          <w:lang w:eastAsia="zh-CN"/>
        </w:rPr>
        <w:t>、</w:t>
      </w:r>
      <w:r>
        <w:rPr>
          <w:rFonts w:hint="eastAsia" w:ascii="Times New Roman" w:hAnsi="Times New Roman" w:eastAsia="方正楷体_GBK" w:cs="方正楷体_GBK"/>
          <w:snapToGrid w:val="0"/>
          <w:color w:val="000000"/>
          <w:spacing w:val="3"/>
          <w:kern w:val="0"/>
          <w:sz w:val="32"/>
          <w:szCs w:val="32"/>
          <w:lang w:val="en-US" w:eastAsia="zh-CN"/>
        </w:rPr>
        <w:t>人行重庆市分行</w:t>
      </w:r>
      <w:r>
        <w:rPr>
          <w:rFonts w:ascii="Times New Roman" w:hAnsi="Times New Roman" w:eastAsia="方正楷体_GBK" w:cs="方正楷体_GBK"/>
          <w:snapToGrid w:val="0"/>
          <w:color w:val="000000"/>
          <w:spacing w:val="3"/>
          <w:kern w:val="0"/>
          <w:sz w:val="32"/>
          <w:szCs w:val="32"/>
          <w:lang w:eastAsia="en-US"/>
        </w:rPr>
        <w:t>）</w:t>
      </w:r>
    </w:p>
    <w:p w14:paraId="01C92585">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position w:val="3"/>
          <w:sz w:val="31"/>
          <w:szCs w:val="31"/>
        </w:rPr>
        <w:t>八、扩大鼓励外商投资产业范围</w:t>
      </w:r>
    </w:p>
    <w:p w14:paraId="0782B0A7">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hint="eastAsia" w:ascii="Times New Roman" w:hAnsi="Times New Roman" w:eastAsia="方正仿宋_GBK" w:cs="方正仿宋_GBK"/>
          <w:snapToGrid w:val="0"/>
          <w:color w:val="000000"/>
          <w:spacing w:val="13"/>
          <w:kern w:val="0"/>
          <w:sz w:val="32"/>
          <w:szCs w:val="32"/>
          <w:lang w:eastAsia="en-US"/>
        </w:rPr>
        <w:t>围绕我市产业链供应链优化升级和未来产业发展方向，积极争取更多特色优势产业条目纳入国家鼓励目录。</w:t>
      </w:r>
      <w:r>
        <w:rPr>
          <w:rFonts w:ascii="Times New Roman" w:hAnsi="Times New Roman" w:eastAsia="方正仿宋_GBK" w:cs="方正仿宋_GBK"/>
          <w:snapToGrid w:val="0"/>
          <w:color w:val="000000"/>
          <w:spacing w:val="13"/>
          <w:kern w:val="0"/>
          <w:sz w:val="32"/>
          <w:szCs w:val="32"/>
          <w:lang w:eastAsia="en-US"/>
        </w:rPr>
        <w:t>强化重点领域外商引导，推动外资更好服务制造业高质量发展与现代服务业体系构建，优化外资区域布局，有序引导外资向中西部地区梯度转移</w:t>
      </w:r>
      <w:r>
        <w:rPr>
          <w:rFonts w:hint="eastAsia" w:ascii="Times New Roman" w:hAnsi="Times New Roman" w:eastAsia="方正仿宋_GBK" w:cs="方正仿宋_GBK"/>
          <w:snapToGrid w:val="0"/>
          <w:color w:val="000000"/>
          <w:spacing w:val="13"/>
          <w:kern w:val="0"/>
          <w:sz w:val="32"/>
          <w:szCs w:val="32"/>
          <w:lang w:eastAsia="zh-CN"/>
        </w:rPr>
        <w:t>。</w:t>
      </w:r>
      <w:r>
        <w:rPr>
          <w:rFonts w:ascii="Times New Roman" w:hAnsi="Times New Roman" w:eastAsia="方正仿宋_GBK" w:cs="方正仿宋_GBK"/>
          <w:snapToGrid w:val="0"/>
          <w:color w:val="000000"/>
          <w:spacing w:val="13"/>
          <w:kern w:val="0"/>
          <w:sz w:val="32"/>
          <w:szCs w:val="32"/>
          <w:lang w:eastAsia="en-US"/>
        </w:rPr>
        <w:t>聚焦项目（平台）建设、市场主体培育、产业生态优化等重点领域，强化政策集成创新，完善外商投资全流程服务体系，重点引导外资投向研发设计、商务服务</w:t>
      </w:r>
      <w:r>
        <w:rPr>
          <w:rFonts w:hint="eastAsia" w:ascii="Times New Roman" w:hAnsi="Times New Roman" w:eastAsia="方正仿宋_GBK" w:cs="方正仿宋_GBK"/>
          <w:snapToGrid w:val="0"/>
          <w:color w:val="000000"/>
          <w:spacing w:val="13"/>
          <w:kern w:val="0"/>
          <w:sz w:val="32"/>
          <w:szCs w:val="32"/>
          <w:lang w:val="en-US" w:eastAsia="zh-CN"/>
        </w:rPr>
        <w:t>和先进制造等产业方向</w:t>
      </w:r>
      <w:r>
        <w:rPr>
          <w:rFonts w:ascii="Times New Roman" w:hAnsi="Times New Roman" w:eastAsia="方正仿宋_GBK" w:cs="方正仿宋_GBK"/>
          <w:snapToGrid w:val="0"/>
          <w:color w:val="000000"/>
          <w:spacing w:val="13"/>
          <w:kern w:val="0"/>
          <w:sz w:val="32"/>
          <w:szCs w:val="32"/>
          <w:lang w:eastAsia="en-US"/>
        </w:rPr>
        <w:t>，培育具有国际竞争力的现代服务业集群。</w:t>
      </w:r>
      <w:r>
        <w:rPr>
          <w:rFonts w:ascii="Times New Roman" w:hAnsi="Times New Roman" w:eastAsia="方正楷体_GBK" w:cs="方正楷体_GBK"/>
          <w:snapToGrid w:val="0"/>
          <w:color w:val="000000"/>
          <w:spacing w:val="3"/>
          <w:kern w:val="0"/>
          <w:sz w:val="32"/>
          <w:szCs w:val="32"/>
          <w:lang w:eastAsia="en-US"/>
        </w:rPr>
        <w:t>（责任单位：市经济信息委、市发展改革委、市商务委）</w:t>
      </w:r>
    </w:p>
    <w:p w14:paraId="38375E66">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8"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7"/>
          <w:sz w:val="31"/>
          <w:szCs w:val="31"/>
        </w:rPr>
        <w:t>九、支持外商投资性公司使用境内贷款</w:t>
      </w:r>
    </w:p>
    <w:p w14:paraId="7D54EA2F">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z w:val="32"/>
          <w:szCs w:val="32"/>
        </w:rPr>
      </w:pPr>
      <w:r>
        <w:rPr>
          <w:rFonts w:ascii="Times New Roman" w:hAnsi="Times New Roman" w:eastAsia="方正仿宋_GBK" w:cs="方正仿宋_GBK"/>
          <w:snapToGrid w:val="0"/>
          <w:color w:val="000000"/>
          <w:spacing w:val="13"/>
          <w:kern w:val="0"/>
          <w:sz w:val="32"/>
          <w:szCs w:val="32"/>
          <w:lang w:val="en-US" w:eastAsia="en-US" w:bidi="ar-SA"/>
        </w:rPr>
        <w:t>推动外商投资性公司使用境内贷款开展股权投资，加大政策宣传解读力度，为跨国公司在渝投资设立总部型机构提供便利。</w:t>
      </w:r>
      <w:r>
        <w:rPr>
          <w:rFonts w:ascii="Times New Roman" w:hAnsi="Times New Roman" w:eastAsia="方正楷体_GBK" w:cs="方正楷体_GBK"/>
          <w:spacing w:val="9"/>
          <w:sz w:val="32"/>
          <w:szCs w:val="32"/>
        </w:rPr>
        <w:t>（责任单位：</w:t>
      </w:r>
      <w:r>
        <w:rPr>
          <w:rFonts w:hint="eastAsia" w:ascii="Times New Roman" w:hAnsi="Times New Roman" w:eastAsia="方正楷体_GBK" w:cs="方正楷体_GBK"/>
          <w:spacing w:val="9"/>
          <w:sz w:val="32"/>
          <w:szCs w:val="32"/>
          <w:highlight w:val="none"/>
          <w:lang w:val="en-US" w:eastAsia="zh-CN"/>
        </w:rPr>
        <w:t>人行重庆市分行</w:t>
      </w:r>
      <w:r>
        <w:rPr>
          <w:rFonts w:ascii="Times New Roman" w:hAnsi="Times New Roman" w:eastAsia="方正楷体_GBK" w:cs="方正楷体_GBK"/>
          <w:spacing w:val="9"/>
          <w:sz w:val="32"/>
          <w:szCs w:val="32"/>
        </w:rPr>
        <w:t>）</w:t>
      </w:r>
    </w:p>
    <w:p w14:paraId="358CFFD8">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highlight w:val="none"/>
        </w:rPr>
      </w:pPr>
      <w:r>
        <w:rPr>
          <w:rFonts w:ascii="Times New Roman" w:hAnsi="Times New Roman" w:eastAsia="方正黑体_GBK" w:cs="方正黑体_GBK"/>
          <w:spacing w:val="5"/>
          <w:sz w:val="31"/>
          <w:szCs w:val="31"/>
          <w:highlight w:val="none"/>
        </w:rPr>
        <w:t>十、鼓励跨国公司设立地区总部或总部型机构</w:t>
      </w:r>
    </w:p>
    <w:p w14:paraId="7CBFE6F7">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加快制定跨国公司地区总部及总部型机构认定标准，对符合条件的企业给予外资总部机构认定，提供财政资金支持，进一步便利其人员出入境、工作居留许可、跨境金融服务、税务管理、国际物流等方面。</w:t>
      </w:r>
      <w:r>
        <w:rPr>
          <w:rFonts w:ascii="Times New Roman" w:hAnsi="Times New Roman" w:eastAsia="方正楷体_GBK" w:cs="方正楷体_GBK"/>
          <w:snapToGrid w:val="0"/>
          <w:color w:val="000000"/>
          <w:spacing w:val="3"/>
          <w:kern w:val="0"/>
          <w:sz w:val="32"/>
          <w:szCs w:val="32"/>
          <w:lang w:eastAsia="en-US"/>
        </w:rPr>
        <w:t>（责任单位：市商务委、</w:t>
      </w:r>
      <w:r>
        <w:rPr>
          <w:rFonts w:hint="eastAsia" w:ascii="Times New Roman" w:hAnsi="Times New Roman" w:eastAsia="方正楷体_GBK" w:cs="方正楷体_GBK"/>
          <w:snapToGrid w:val="0"/>
          <w:color w:val="000000"/>
          <w:spacing w:val="3"/>
          <w:kern w:val="0"/>
          <w:sz w:val="32"/>
          <w:szCs w:val="32"/>
          <w:lang w:eastAsia="zh-CN"/>
        </w:rPr>
        <w:t>人行重庆市分行</w:t>
      </w:r>
      <w:r>
        <w:rPr>
          <w:rFonts w:ascii="Times New Roman" w:hAnsi="Times New Roman" w:eastAsia="方正楷体_GBK" w:cs="方正楷体_GBK"/>
          <w:snapToGrid w:val="0"/>
          <w:color w:val="000000"/>
          <w:spacing w:val="3"/>
          <w:kern w:val="0"/>
          <w:sz w:val="32"/>
          <w:szCs w:val="32"/>
          <w:lang w:eastAsia="en-US"/>
        </w:rPr>
        <w:t>、市公安局）</w:t>
      </w:r>
    </w:p>
    <w:p w14:paraId="7A7DE2F8">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8"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7"/>
          <w:position w:val="3"/>
          <w:sz w:val="31"/>
          <w:szCs w:val="31"/>
        </w:rPr>
        <w:t>十一、</w:t>
      </w:r>
      <w:r>
        <w:rPr>
          <w:rFonts w:hint="eastAsia" w:ascii="Times New Roman" w:hAnsi="Times New Roman" w:eastAsia="方正黑体_GBK" w:cs="方正黑体_GBK"/>
          <w:spacing w:val="7"/>
          <w:position w:val="3"/>
          <w:sz w:val="31"/>
          <w:szCs w:val="31"/>
          <w:lang w:eastAsia="zh-CN"/>
        </w:rPr>
        <w:t>鼓励外商</w:t>
      </w:r>
      <w:r>
        <w:rPr>
          <w:rFonts w:ascii="Times New Roman" w:hAnsi="Times New Roman" w:eastAsia="方正黑体_GBK" w:cs="方正黑体_GBK"/>
          <w:spacing w:val="7"/>
          <w:position w:val="3"/>
          <w:sz w:val="31"/>
          <w:szCs w:val="31"/>
        </w:rPr>
        <w:t>实施并购投资</w:t>
      </w:r>
    </w:p>
    <w:p w14:paraId="586823F2">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鼓励外资参与汽车、电子信息、装备制造等重点产业并购重组，促进产业转型升级。强化“三企”联动，加快落实国企与外企框架协议，扩大合作空间、实现协同发展。</w:t>
      </w:r>
      <w:r>
        <w:rPr>
          <w:rFonts w:ascii="Times New Roman" w:hAnsi="Times New Roman" w:eastAsia="方正楷体_GBK" w:cs="方正楷体_GBK"/>
          <w:snapToGrid w:val="0"/>
          <w:color w:val="000000"/>
          <w:spacing w:val="3"/>
          <w:kern w:val="0"/>
          <w:sz w:val="32"/>
          <w:szCs w:val="32"/>
          <w:lang w:eastAsia="en-US"/>
        </w:rPr>
        <w:t>（责任单位：市国资委、市商务委、市经济信息委）</w:t>
      </w:r>
    </w:p>
    <w:p w14:paraId="1751E8C1">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6"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4"/>
          <w:position w:val="3"/>
          <w:sz w:val="31"/>
          <w:szCs w:val="31"/>
        </w:rPr>
        <w:t>十二、加大重点领域引资力度</w:t>
      </w:r>
    </w:p>
    <w:p w14:paraId="0BB5FDAE">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val="en-US" w:eastAsia="en-US" w:bidi="ar-SA"/>
        </w:rPr>
      </w:pPr>
      <w:r>
        <w:rPr>
          <w:rFonts w:ascii="Times New Roman" w:hAnsi="Times New Roman" w:eastAsia="方正仿宋_GBK" w:cs="方正仿宋_GBK"/>
          <w:snapToGrid w:val="0"/>
          <w:color w:val="000000"/>
          <w:spacing w:val="13"/>
          <w:kern w:val="0"/>
          <w:sz w:val="32"/>
          <w:szCs w:val="32"/>
          <w:lang w:val="en-US" w:eastAsia="en-US" w:bidi="ar-SA"/>
        </w:rPr>
        <w:t>鼓励外资工业企业围绕</w:t>
      </w:r>
      <w:r>
        <w:rPr>
          <w:rFonts w:hint="eastAsia" w:ascii="Times New Roman" w:hAnsi="Times New Roman" w:eastAsia="方正仿宋_GBK" w:cs="方正仿宋_GBK"/>
          <w:snapToGrid w:val="0"/>
          <w:color w:val="000000"/>
          <w:spacing w:val="13"/>
          <w:kern w:val="0"/>
          <w:sz w:val="32"/>
          <w:szCs w:val="32"/>
          <w:lang w:val="en-US" w:eastAsia="zh-CN" w:bidi="ar-SA"/>
        </w:rPr>
        <w:t>“</w:t>
      </w:r>
      <w:r>
        <w:rPr>
          <w:rFonts w:ascii="Times New Roman" w:hAnsi="Times New Roman" w:eastAsia="方正仿宋_GBK" w:cs="方正仿宋_GBK"/>
          <w:snapToGrid w:val="0"/>
          <w:color w:val="000000"/>
          <w:spacing w:val="13"/>
          <w:kern w:val="0"/>
          <w:sz w:val="32"/>
          <w:szCs w:val="32"/>
          <w:lang w:val="en-US" w:eastAsia="en-US" w:bidi="ar-SA"/>
        </w:rPr>
        <w:t>33618</w:t>
      </w:r>
      <w:r>
        <w:rPr>
          <w:rFonts w:hint="eastAsia" w:ascii="Times New Roman" w:hAnsi="Times New Roman" w:eastAsia="方正仿宋_GBK" w:cs="方正仿宋_GBK"/>
          <w:snapToGrid w:val="0"/>
          <w:color w:val="000000"/>
          <w:spacing w:val="13"/>
          <w:kern w:val="0"/>
          <w:sz w:val="32"/>
          <w:szCs w:val="32"/>
          <w:lang w:val="en-US" w:eastAsia="zh-CN" w:bidi="ar-SA"/>
        </w:rPr>
        <w:t>”</w:t>
      </w:r>
      <w:r>
        <w:rPr>
          <w:rFonts w:ascii="Times New Roman" w:hAnsi="Times New Roman" w:eastAsia="方正仿宋_GBK" w:cs="方正仿宋_GBK"/>
          <w:snapToGrid w:val="0"/>
          <w:color w:val="000000"/>
          <w:spacing w:val="13"/>
          <w:kern w:val="0"/>
          <w:sz w:val="32"/>
          <w:szCs w:val="32"/>
          <w:lang w:val="en-US" w:eastAsia="en-US" w:bidi="ar-SA"/>
        </w:rPr>
        <w:t>产业体系建设，以高端化、智能化、绿色化为主攻方向实施技术改造升级。积极落实国家和市关于支持工业企业开展设备更新和技术改造优惠政策，鼓励引导更多外资企业申报获得政策支持。鼓励养老服务、文化和旅游、体育、医疗、职业教育、金融等服务业领域吸引利用外资，满足多层次服务消费需求。</w:t>
      </w:r>
      <w:r>
        <w:rPr>
          <w:rFonts w:ascii="Times New Roman" w:hAnsi="Times New Roman" w:eastAsia="方正楷体_GBK" w:cs="方正楷体_GBK"/>
          <w:snapToGrid w:val="0"/>
          <w:color w:val="000000"/>
          <w:spacing w:val="3"/>
          <w:kern w:val="0"/>
          <w:sz w:val="32"/>
          <w:szCs w:val="32"/>
          <w:lang w:val="en-US" w:eastAsia="en-US" w:bidi="ar-SA"/>
        </w:rPr>
        <w:t>（责任单位：市经济信息委、市商务委、市文化旅游委、市卫生健康委、市教委、重庆金融监管局、市委金融办）</w:t>
      </w:r>
    </w:p>
    <w:p w14:paraId="421685FB">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2"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3"/>
          <w:position w:val="3"/>
          <w:sz w:val="31"/>
          <w:szCs w:val="31"/>
        </w:rPr>
        <w:t>十三、强化涉外政策宣介实效</w:t>
      </w:r>
    </w:p>
    <w:p w14:paraId="6CA06CD8">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进一步加大政策宣讲力度，增强各项政策措施透明度，保障外资企业一视同仁平等享受各类政策支持。充分运用新闻发布、吹风会、接受采访、专家解读等多维宣介方式，确保惠企措施精准直达终端。</w:t>
      </w:r>
      <w:r>
        <w:rPr>
          <w:rFonts w:ascii="Times New Roman" w:hAnsi="Times New Roman" w:eastAsia="方正楷体_GBK" w:cs="方正楷体_GBK"/>
          <w:snapToGrid w:val="0"/>
          <w:color w:val="000000"/>
          <w:spacing w:val="3"/>
          <w:kern w:val="0"/>
          <w:sz w:val="32"/>
          <w:szCs w:val="32"/>
          <w:lang w:eastAsia="en-US"/>
        </w:rPr>
        <w:t>（责任单位：市商务委）</w:t>
      </w:r>
    </w:p>
    <w:p w14:paraId="045CD243">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6"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4"/>
          <w:sz w:val="31"/>
          <w:szCs w:val="31"/>
        </w:rPr>
        <w:t>十四、深化国家级经开区体制机制改革</w:t>
      </w:r>
    </w:p>
    <w:p w14:paraId="6C9E1BA7">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实施《重庆市开发区条例》，动态优化经开区、综保区四至范围以促进产业集聚；同步提升统计工作水平，推动综保区差异化发展，强化协同保障国际铁路港综保区封关运行，打造外向型经济高地。</w:t>
      </w:r>
      <w:r>
        <w:rPr>
          <w:rFonts w:ascii="Times New Roman" w:hAnsi="Times New Roman" w:eastAsia="方正楷体_GBK" w:cs="方正楷体_GBK"/>
          <w:snapToGrid w:val="0"/>
          <w:color w:val="000000"/>
          <w:spacing w:val="3"/>
          <w:kern w:val="0"/>
          <w:sz w:val="32"/>
          <w:szCs w:val="32"/>
          <w:lang w:eastAsia="en-US"/>
        </w:rPr>
        <w:t>（责任单位：市商务委、重庆海关）</w:t>
      </w:r>
    </w:p>
    <w:p w14:paraId="57E7D5DA">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sz w:val="31"/>
          <w:szCs w:val="31"/>
        </w:rPr>
        <w:t>十五、实施自由贸易试验区提升战略</w:t>
      </w:r>
    </w:p>
    <w:p w14:paraId="57D377B8">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出台重庆自贸试验区对接国际高标准经贸规则推进制度型开放实施方案，持续优化营商环境，打造吸引外商投资高地。健全诉讼、仲裁、调</w:t>
      </w:r>
      <w:r>
        <w:rPr>
          <w:rFonts w:hint="eastAsia" w:ascii="Times New Roman" w:hAnsi="Times New Roman" w:eastAsia="方正仿宋_GBK" w:cs="方正仿宋_GBK"/>
          <w:snapToGrid w:val="0"/>
          <w:color w:val="000000"/>
          <w:spacing w:val="13"/>
          <w:kern w:val="0"/>
          <w:sz w:val="32"/>
          <w:szCs w:val="32"/>
          <w:lang w:val="en-US" w:eastAsia="zh-CN"/>
        </w:rPr>
        <w:t>解</w:t>
      </w:r>
      <w:r>
        <w:rPr>
          <w:rFonts w:ascii="Times New Roman" w:hAnsi="Times New Roman" w:eastAsia="方正仿宋_GBK" w:cs="方正仿宋_GBK"/>
          <w:snapToGrid w:val="0"/>
          <w:color w:val="000000"/>
          <w:spacing w:val="13"/>
          <w:kern w:val="0"/>
          <w:sz w:val="32"/>
          <w:szCs w:val="32"/>
          <w:lang w:eastAsia="en-US"/>
        </w:rPr>
        <w:t>等有机衔接、相互协调的国际商事纠纷多元化解决机制。</w:t>
      </w:r>
      <w:r>
        <w:rPr>
          <w:rFonts w:ascii="Times New Roman" w:hAnsi="Times New Roman" w:eastAsia="方正楷体_GBK" w:cs="方正楷体_GBK"/>
          <w:snapToGrid w:val="0"/>
          <w:color w:val="000000"/>
          <w:spacing w:val="3"/>
          <w:kern w:val="0"/>
          <w:sz w:val="32"/>
          <w:szCs w:val="32"/>
          <w:lang w:eastAsia="en-US"/>
        </w:rPr>
        <w:t>（责任单位：市商务委、重庆海关、市司法局</w:t>
      </w:r>
      <w:r>
        <w:rPr>
          <w:rFonts w:hint="eastAsia" w:ascii="Times New Roman" w:hAnsi="Times New Roman" w:eastAsia="方正楷体_GBK" w:cs="方正楷体_GBK"/>
          <w:snapToGrid w:val="0"/>
          <w:color w:val="000000"/>
          <w:spacing w:val="3"/>
          <w:kern w:val="0"/>
          <w:sz w:val="32"/>
          <w:szCs w:val="32"/>
          <w:lang w:eastAsia="zh-CN"/>
        </w:rPr>
        <w:t>、</w:t>
      </w:r>
      <w:r>
        <w:rPr>
          <w:rFonts w:hint="eastAsia" w:ascii="Times New Roman" w:hAnsi="Times New Roman" w:eastAsia="方正楷体_GBK" w:cs="方正楷体_GBK"/>
          <w:snapToGrid w:val="0"/>
          <w:color w:val="000000"/>
          <w:spacing w:val="3"/>
          <w:kern w:val="0"/>
          <w:sz w:val="32"/>
          <w:szCs w:val="32"/>
          <w:lang w:val="en-US" w:eastAsia="zh-CN"/>
        </w:rPr>
        <w:t>市高法院、市贸促会</w:t>
      </w:r>
      <w:r>
        <w:rPr>
          <w:rFonts w:ascii="Times New Roman" w:hAnsi="Times New Roman" w:eastAsia="方正楷体_GBK" w:cs="方正楷体_GBK"/>
          <w:snapToGrid w:val="0"/>
          <w:color w:val="000000"/>
          <w:spacing w:val="3"/>
          <w:kern w:val="0"/>
          <w:sz w:val="32"/>
          <w:szCs w:val="32"/>
          <w:lang w:eastAsia="en-US"/>
        </w:rPr>
        <w:t>）</w:t>
      </w:r>
    </w:p>
    <w:p w14:paraId="0F7056B8">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position w:val="3"/>
          <w:sz w:val="31"/>
          <w:szCs w:val="31"/>
        </w:rPr>
        <w:t>十六、推动重大和重点外资项目落地</w:t>
      </w:r>
    </w:p>
    <w:p w14:paraId="056A89E3">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val="en-US" w:eastAsia="en-US" w:bidi="ar-SA"/>
        </w:rPr>
      </w:pPr>
      <w:r>
        <w:rPr>
          <w:rFonts w:ascii="Times New Roman" w:hAnsi="Times New Roman" w:eastAsia="方正仿宋_GBK" w:cs="方正仿宋_GBK"/>
          <w:snapToGrid w:val="0"/>
          <w:color w:val="000000"/>
          <w:spacing w:val="13"/>
          <w:kern w:val="0"/>
          <w:sz w:val="32"/>
          <w:szCs w:val="32"/>
          <w:lang w:val="en-US" w:eastAsia="en-US" w:bidi="ar-SA"/>
        </w:rPr>
        <w:t>进一步健全外商投资企业全流程服务体系，常态化开展“三送一访”、行政服务管家和外资企业圆桌会议等服务外资企业工作，加强重点外资项目市区联动服务，将服务延伸至基层和项目“末梢”，为重点外商投资项目提供“一对一”服务。优化跨部门协调解决问题机制，加强项目信息共享，强化用地、用工、环评等要素保障，分类实施“一企一策”及共性难题集中攻坚，</w:t>
      </w:r>
      <w:r>
        <w:rPr>
          <w:rFonts w:hint="eastAsia" w:ascii="Times New Roman" w:hAnsi="Times New Roman" w:eastAsia="方正仿宋_GBK" w:cs="方正仿宋_GBK"/>
          <w:snapToGrid w:val="0"/>
          <w:color w:val="000000"/>
          <w:spacing w:val="13"/>
          <w:kern w:val="0"/>
          <w:sz w:val="32"/>
          <w:szCs w:val="32"/>
          <w:lang w:val="en-US" w:eastAsia="en-US" w:bidi="ar-SA"/>
        </w:rPr>
        <w:t>力争更多项目纳入国家重大外资项目工作专班协调范围</w:t>
      </w:r>
      <w:r>
        <w:rPr>
          <w:rFonts w:ascii="Times New Roman" w:hAnsi="Times New Roman" w:eastAsia="方正仿宋_GBK" w:cs="方正仿宋_GBK"/>
          <w:snapToGrid w:val="0"/>
          <w:color w:val="000000"/>
          <w:spacing w:val="13"/>
          <w:kern w:val="0"/>
          <w:sz w:val="32"/>
          <w:szCs w:val="32"/>
          <w:lang w:val="en-US" w:eastAsia="en-US" w:bidi="ar-SA"/>
        </w:rPr>
        <w:t>。建立战新产业外资招商项目专项服务通道，加强项目准入、审批、建设全链条协调，提升战略性新兴产业外资项目落地效率。</w:t>
      </w:r>
      <w:r>
        <w:rPr>
          <w:rFonts w:ascii="Times New Roman" w:hAnsi="Times New Roman" w:eastAsia="方正楷体_GBK" w:cs="方正楷体_GBK"/>
          <w:snapToGrid w:val="0"/>
          <w:color w:val="000000"/>
          <w:spacing w:val="3"/>
          <w:kern w:val="0"/>
          <w:sz w:val="32"/>
          <w:szCs w:val="32"/>
          <w:lang w:val="en-US" w:eastAsia="en-US" w:bidi="ar-SA"/>
        </w:rPr>
        <w:t>（责任单位：市商务委、市发展改革委、市经济信息委）</w:t>
      </w:r>
    </w:p>
    <w:p w14:paraId="56810028">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position w:val="3"/>
          <w:sz w:val="31"/>
          <w:szCs w:val="31"/>
        </w:rPr>
        <w:t>十七、落实政府采购本国产品标准体系</w:t>
      </w:r>
    </w:p>
    <w:p w14:paraId="7114E352">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确保不同所有制企业在中国境内生产的产品平等参与全市政府采购活动。加强政府采购领域政策宣传，做好外资企业投诉处理工作。细化落实在产权保护、环境标准、劳动保护、政府采购、电子商务、金融等领域CPTPP规则。</w:t>
      </w:r>
      <w:r>
        <w:rPr>
          <w:rFonts w:ascii="Times New Roman" w:hAnsi="Times New Roman" w:eastAsia="方正楷体_GBK" w:cs="方正楷体_GBK"/>
          <w:snapToGrid w:val="0"/>
          <w:color w:val="000000"/>
          <w:spacing w:val="3"/>
          <w:kern w:val="0"/>
          <w:sz w:val="32"/>
          <w:szCs w:val="32"/>
          <w:lang w:eastAsia="en-US"/>
        </w:rPr>
        <w:t>（责任单位：市财政局、市商务委）</w:t>
      </w:r>
    </w:p>
    <w:p w14:paraId="7D1AD5CB">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36"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4"/>
          <w:position w:val="3"/>
          <w:sz w:val="31"/>
          <w:szCs w:val="31"/>
        </w:rPr>
        <w:t>十八、拓宽外资企业融资渠道</w:t>
      </w:r>
    </w:p>
    <w:p w14:paraId="770411B0">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hint="eastAsia" w:ascii="Times New Roman" w:hAnsi="Times New Roman" w:eastAsia="方正仿宋_GBK" w:cs="方正仿宋_GBK"/>
          <w:snapToGrid w:val="0"/>
          <w:color w:val="000000"/>
          <w:spacing w:val="13"/>
          <w:kern w:val="0"/>
          <w:sz w:val="32"/>
          <w:szCs w:val="32"/>
          <w:lang w:eastAsia="en-US"/>
        </w:rPr>
        <w:t>鼓励金融机构为外资企业提供融资服务</w:t>
      </w:r>
      <w:r>
        <w:rPr>
          <w:rFonts w:ascii="Times New Roman" w:hAnsi="Times New Roman" w:eastAsia="方正仿宋_GBK" w:cs="方正仿宋_GBK"/>
          <w:snapToGrid w:val="0"/>
          <w:color w:val="000000"/>
          <w:spacing w:val="13"/>
          <w:kern w:val="0"/>
          <w:sz w:val="32"/>
          <w:szCs w:val="32"/>
          <w:lang w:eastAsia="en-US"/>
        </w:rPr>
        <w:t>，将符合条件的外资企业纳入渝贸贷支持，常态化开展“银企对接”服务活动，全面落实中央对中小微企业的金融支持政策。</w:t>
      </w:r>
      <w:r>
        <w:rPr>
          <w:rFonts w:ascii="Times New Roman" w:hAnsi="Times New Roman" w:eastAsia="方正楷体_GBK" w:cs="方正楷体_GBK"/>
          <w:snapToGrid w:val="0"/>
          <w:color w:val="000000"/>
          <w:spacing w:val="3"/>
          <w:kern w:val="0"/>
          <w:sz w:val="32"/>
          <w:szCs w:val="32"/>
          <w:lang w:eastAsia="en-US"/>
        </w:rPr>
        <w:t>（责任单位：</w:t>
      </w:r>
      <w:r>
        <w:rPr>
          <w:rFonts w:hint="eastAsia" w:ascii="Times New Roman" w:hAnsi="Times New Roman" w:eastAsia="方正楷体_GBK" w:cs="方正楷体_GBK"/>
          <w:snapToGrid w:val="0"/>
          <w:color w:val="000000"/>
          <w:spacing w:val="3"/>
          <w:kern w:val="0"/>
          <w:sz w:val="32"/>
          <w:szCs w:val="32"/>
          <w:lang w:eastAsia="zh-CN"/>
        </w:rPr>
        <w:t>人行重庆市分行</w:t>
      </w:r>
      <w:r>
        <w:rPr>
          <w:rFonts w:ascii="Times New Roman" w:hAnsi="Times New Roman" w:eastAsia="方正楷体_GBK" w:cs="方正楷体_GBK"/>
          <w:snapToGrid w:val="0"/>
          <w:color w:val="000000"/>
          <w:spacing w:val="3"/>
          <w:kern w:val="0"/>
          <w:sz w:val="32"/>
          <w:szCs w:val="32"/>
          <w:lang w:eastAsia="en-US"/>
        </w:rPr>
        <w:t>、重庆金融监管局、市商务委）</w:t>
      </w:r>
    </w:p>
    <w:p w14:paraId="4D94BA10">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0"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5"/>
          <w:position w:val="3"/>
          <w:sz w:val="31"/>
          <w:szCs w:val="31"/>
        </w:rPr>
        <w:t>十九、促进人员往来便利化</w:t>
      </w:r>
    </w:p>
    <w:p w14:paraId="44DCED36">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建立多部门协同保障机制，为外籍商贸人员提供口岸签证便利及5年多次访华专项签证邀请函核发服务，边检机构实施24小时过境免检、优化240小时过境免签流程、开通多语种政务热线，全面升级国际货运航班快速通关、入境卡电子申报等便利化措施，构建涵盖签证办理、边检查验、商务服务全流程的跨境人员流动服务体系。</w:t>
      </w:r>
      <w:r>
        <w:rPr>
          <w:rFonts w:ascii="Times New Roman" w:hAnsi="Times New Roman" w:eastAsia="方正楷体_GBK" w:cs="方正楷体_GBK"/>
          <w:snapToGrid w:val="0"/>
          <w:color w:val="000000"/>
          <w:spacing w:val="3"/>
          <w:kern w:val="0"/>
          <w:sz w:val="32"/>
          <w:szCs w:val="32"/>
          <w:lang w:eastAsia="en-US"/>
        </w:rPr>
        <w:t>（责任单位：市公安局、市政府外办、市</w:t>
      </w:r>
      <w:r>
        <w:rPr>
          <w:rFonts w:hint="eastAsia" w:ascii="Times New Roman" w:hAnsi="Times New Roman" w:eastAsia="方正楷体_GBK" w:cs="方正楷体_GBK"/>
          <w:snapToGrid w:val="0"/>
          <w:color w:val="000000"/>
          <w:spacing w:val="3"/>
          <w:kern w:val="0"/>
          <w:sz w:val="32"/>
          <w:szCs w:val="32"/>
          <w:lang w:val="en-US" w:eastAsia="zh-CN"/>
        </w:rPr>
        <w:t>政府</w:t>
      </w:r>
      <w:r>
        <w:rPr>
          <w:rFonts w:ascii="Times New Roman" w:hAnsi="Times New Roman" w:eastAsia="方正楷体_GBK" w:cs="方正楷体_GBK"/>
          <w:snapToGrid w:val="0"/>
          <w:color w:val="000000"/>
          <w:spacing w:val="3"/>
          <w:kern w:val="0"/>
          <w:sz w:val="32"/>
          <w:szCs w:val="32"/>
          <w:lang w:eastAsia="en-US"/>
        </w:rPr>
        <w:t>口岸物流办、重庆边检总站）</w:t>
      </w:r>
    </w:p>
    <w:p w14:paraId="7B6ADA3A">
      <w:pPr>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4" w:firstLineChars="200"/>
        <w:jc w:val="both"/>
        <w:textAlignment w:val="baseline"/>
        <w:rPr>
          <w:rFonts w:ascii="Times New Roman" w:hAnsi="Times New Roman" w:eastAsia="方正黑体_GBK" w:cs="方正黑体_GBK"/>
          <w:sz w:val="31"/>
          <w:szCs w:val="31"/>
        </w:rPr>
      </w:pPr>
      <w:r>
        <w:rPr>
          <w:rFonts w:ascii="Times New Roman" w:hAnsi="Times New Roman" w:eastAsia="方正黑体_GBK" w:cs="方正黑体_GBK"/>
          <w:spacing w:val="6"/>
          <w:sz w:val="31"/>
          <w:szCs w:val="31"/>
        </w:rPr>
        <w:t>二十、提升外资企业贸易便利化水平</w:t>
      </w:r>
    </w:p>
    <w:p w14:paraId="6F7CE7C6">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ascii="Times New Roman" w:hAnsi="Times New Roman" w:eastAsia="方正仿宋_GBK" w:cs="方正仿宋_GBK"/>
          <w:snapToGrid w:val="0"/>
          <w:color w:val="000000"/>
          <w:spacing w:val="13"/>
          <w:kern w:val="0"/>
          <w:sz w:val="32"/>
          <w:szCs w:val="32"/>
          <w:lang w:eastAsia="en-US"/>
        </w:rPr>
        <w:t>加大外资企业AEO认证培育力度，对首次获得高级认证资质的企业给予资金奖励，并重点开展知识产权海关备案辅导和侵权打击专项行动；全面推广RCEP等自贸协定应用，优化原产地证书签证服务，通过</w:t>
      </w:r>
      <w:r>
        <w:rPr>
          <w:rFonts w:hint="eastAsia" w:ascii="Times New Roman" w:hAnsi="Times New Roman" w:eastAsia="方正仿宋_GBK" w:cs="方正仿宋_GBK"/>
          <w:snapToGrid w:val="0"/>
          <w:color w:val="000000"/>
          <w:spacing w:val="13"/>
          <w:kern w:val="0"/>
          <w:sz w:val="32"/>
          <w:szCs w:val="32"/>
          <w:lang w:eastAsia="zh-CN"/>
        </w:rPr>
        <w:t>“</w:t>
      </w:r>
      <w:r>
        <w:rPr>
          <w:rFonts w:ascii="Times New Roman" w:hAnsi="Times New Roman" w:eastAsia="方正仿宋_GBK" w:cs="方正仿宋_GBK"/>
          <w:snapToGrid w:val="0"/>
          <w:color w:val="000000"/>
          <w:spacing w:val="13"/>
          <w:kern w:val="0"/>
          <w:sz w:val="32"/>
          <w:szCs w:val="32"/>
          <w:lang w:eastAsia="en-US"/>
        </w:rPr>
        <w:t>中国海关优惠原产地服务平台</w:t>
      </w:r>
      <w:r>
        <w:rPr>
          <w:rFonts w:hint="eastAsia" w:ascii="Times New Roman" w:hAnsi="Times New Roman" w:eastAsia="方正仿宋_GBK" w:cs="方正仿宋_GBK"/>
          <w:snapToGrid w:val="0"/>
          <w:color w:val="000000"/>
          <w:spacing w:val="13"/>
          <w:kern w:val="0"/>
          <w:sz w:val="32"/>
          <w:szCs w:val="32"/>
          <w:lang w:eastAsia="zh-CN"/>
        </w:rPr>
        <w:t>”</w:t>
      </w:r>
      <w:r>
        <w:rPr>
          <w:rFonts w:ascii="Times New Roman" w:hAnsi="Times New Roman" w:eastAsia="方正仿宋_GBK" w:cs="方正仿宋_GBK"/>
          <w:snapToGrid w:val="0"/>
          <w:color w:val="000000"/>
          <w:spacing w:val="13"/>
          <w:kern w:val="0"/>
          <w:sz w:val="32"/>
          <w:szCs w:val="32"/>
          <w:lang w:eastAsia="en-US"/>
        </w:rPr>
        <w:t>提升外资企业关税减让享惠能力。</w:t>
      </w:r>
      <w:r>
        <w:rPr>
          <w:rFonts w:ascii="Times New Roman" w:hAnsi="Times New Roman" w:eastAsia="方正楷体_GBK" w:cs="方正楷体_GBK"/>
          <w:snapToGrid w:val="0"/>
          <w:color w:val="000000"/>
          <w:spacing w:val="3"/>
          <w:kern w:val="0"/>
          <w:sz w:val="32"/>
          <w:szCs w:val="32"/>
          <w:lang w:eastAsia="en-US"/>
        </w:rPr>
        <w:t>（责任单位：重庆海关、市商务委、市知识产权局、市高法院、市贸促会）</w:t>
      </w:r>
    </w:p>
    <w:p w14:paraId="7E70FA7E">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44" w:firstLineChars="200"/>
        <w:jc w:val="both"/>
        <w:textAlignment w:val="baseline"/>
        <w:rPr>
          <w:rFonts w:hint="default" w:ascii="Times New Roman" w:hAnsi="Times New Roman" w:eastAsia="方正黑体_GBK" w:cs="方正黑体_GBK"/>
          <w:spacing w:val="6"/>
          <w:kern w:val="2"/>
          <w:sz w:val="31"/>
          <w:szCs w:val="31"/>
          <w:lang w:val="en-US" w:eastAsia="en-US" w:bidi="ar-SA"/>
        </w:rPr>
      </w:pPr>
      <w:r>
        <w:rPr>
          <w:rFonts w:hint="default" w:ascii="Times New Roman" w:hAnsi="Times New Roman" w:eastAsia="方正黑体_GBK" w:cs="方正黑体_GBK"/>
          <w:spacing w:val="6"/>
          <w:kern w:val="2"/>
          <w:sz w:val="31"/>
          <w:szCs w:val="31"/>
          <w:lang w:val="en-US" w:eastAsia="en-US" w:bidi="ar-SA"/>
        </w:rPr>
        <w:t>二十一、加大财政奖励支持力度</w:t>
      </w:r>
    </w:p>
    <w:p w14:paraId="65955D9F">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692" w:firstLineChars="200"/>
        <w:jc w:val="both"/>
        <w:textAlignment w:val="baseline"/>
        <w:rPr>
          <w:rFonts w:ascii="Times New Roman" w:hAnsi="Times New Roman" w:eastAsia="方正楷体_GBK" w:cs="方正楷体_GBK"/>
          <w:snapToGrid w:val="0"/>
          <w:color w:val="000000"/>
          <w:spacing w:val="3"/>
          <w:kern w:val="0"/>
          <w:sz w:val="32"/>
          <w:szCs w:val="32"/>
          <w:lang w:eastAsia="en-US"/>
        </w:rPr>
      </w:pPr>
      <w:r>
        <w:rPr>
          <w:rFonts w:hint="default" w:ascii="Times New Roman" w:hAnsi="Times New Roman" w:eastAsia="方正仿宋_GBK" w:cs="方正仿宋_GBK"/>
          <w:snapToGrid w:val="0"/>
          <w:color w:val="000000"/>
          <w:spacing w:val="13"/>
          <w:kern w:val="0"/>
          <w:sz w:val="32"/>
          <w:szCs w:val="32"/>
          <w:lang w:val="en-US" w:eastAsia="zh-CN"/>
        </w:rPr>
        <w:t>从2025年开始，对当年在我市实际使用外资金额（不含外方股东贷款，下同）超过500万美元的服务业项目（房地产业、金融业及类金融业项目除外，下同）和超过1000万美元的</w:t>
      </w:r>
      <w:r>
        <w:rPr>
          <w:rFonts w:hint="eastAsia" w:ascii="Times New Roman" w:hAnsi="Times New Roman" w:eastAsia="方正仿宋_GBK" w:cs="方正仿宋_GBK"/>
          <w:snapToGrid w:val="0"/>
          <w:color w:val="000000"/>
          <w:spacing w:val="13"/>
          <w:kern w:val="0"/>
          <w:sz w:val="32"/>
          <w:szCs w:val="32"/>
          <w:lang w:val="en-US" w:eastAsia="zh-CN"/>
        </w:rPr>
        <w:t>外资</w:t>
      </w:r>
      <w:r>
        <w:rPr>
          <w:rFonts w:hint="default" w:ascii="Times New Roman" w:hAnsi="Times New Roman" w:eastAsia="方正仿宋_GBK" w:cs="方正仿宋_GBK"/>
          <w:snapToGrid w:val="0"/>
          <w:color w:val="000000"/>
          <w:spacing w:val="13"/>
          <w:kern w:val="0"/>
          <w:sz w:val="32"/>
          <w:szCs w:val="32"/>
          <w:lang w:val="en-US" w:eastAsia="zh-CN"/>
        </w:rPr>
        <w:t>项目，按其当年实际使用外资金额不低于1%的额度予以奖励；超过3000万美元的制造业项目，按其当年实际使用外资金额不低于2%的额度予以奖励。按照同一方向不重复支持的原则，以上单个项目年度奖励金额最高不超过1000万元。</w:t>
      </w:r>
      <w:r>
        <w:rPr>
          <w:rFonts w:ascii="Times New Roman" w:hAnsi="Times New Roman" w:eastAsia="方正楷体_GBK" w:cs="方正楷体_GBK"/>
          <w:snapToGrid w:val="0"/>
          <w:color w:val="000000"/>
          <w:spacing w:val="3"/>
          <w:kern w:val="0"/>
          <w:sz w:val="32"/>
          <w:szCs w:val="32"/>
          <w:lang w:eastAsia="en-US"/>
        </w:rPr>
        <w:t>（责任单位：市商务委）</w:t>
      </w:r>
    </w:p>
    <w:p w14:paraId="65650E4D">
      <w:pPr>
        <w:pStyle w:val="2"/>
        <w:keepNext w:val="0"/>
        <w:keepLines w:val="0"/>
        <w:pageBreakBefore w:val="0"/>
        <w:widowControl w:val="0"/>
        <w:kinsoku/>
        <w:wordWrap/>
        <w:overflowPunct w:val="0"/>
        <w:topLinePunct w:val="0"/>
        <w:autoSpaceDE w:val="0"/>
        <w:autoSpaceDN w:val="0"/>
        <w:bidi w:val="0"/>
        <w:adjustRightInd w:val="0"/>
        <w:snapToGrid w:val="0"/>
        <w:spacing w:line="560" w:lineRule="exact"/>
        <w:ind w:left="0" w:right="0" w:firstLine="420" w:firstLineChars="200"/>
        <w:jc w:val="both"/>
        <w:textAlignment w:val="baseline"/>
        <w:rPr>
          <w:rFonts w:hint="eastAsia" w:ascii="Times New Roman" w:hAnsi="Times New Roman"/>
          <w:lang w:val="en-US" w:eastAsia="zh-CN"/>
        </w:rPr>
      </w:pPr>
    </w:p>
    <w:p w14:paraId="440460FC">
      <w:pPr>
        <w:keepNext w:val="0"/>
        <w:keepLines w:val="0"/>
        <w:pageBreakBefore w:val="0"/>
        <w:widowControl w:val="0"/>
        <w:kinsoku/>
        <w:wordWrap/>
        <w:topLinePunct w:val="0"/>
        <w:bidi w:val="0"/>
        <w:adjustRightInd w:val="0"/>
        <w:snapToGrid w:val="0"/>
        <w:spacing w:line="560" w:lineRule="exact"/>
        <w:rPr>
          <w:rFonts w:ascii="Times New Roman" w:hAnsi="Times New Roman"/>
        </w:rPr>
      </w:pPr>
    </w:p>
    <w:p w14:paraId="54A82E35">
      <w:bookmarkStart w:id="0" w:name="_GoBack"/>
      <w:bookmarkEnd w:id="0"/>
    </w:p>
    <w:sectPr>
      <w:pgSz w:w="11906" w:h="16838"/>
      <w:pgMar w:top="1701" w:right="1417" w:bottom="1701"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9015EF"/>
    <w:rsid w:val="709015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2025-03-26T02:00:00Z</dcterms:created>
  <dc:creator>asus</dc:creator>
  <cp:lastModifiedBy>asus</cp:lastModifiedBy>
  <dcterms:modified xsi:type="dcterms:W3CDTF">2025-03-26T02:00:23Z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D0D1A30E45F5498AA6323CE4A64251C2_11</vt:lpwstr>
  </property>
  <property fmtid="{D5CDD505-2E9C-101B-9397-08002B2CF9AE}" pid="4" name="KSOTemplateDocerSaveRecord">
    <vt:lpwstr>eyJoZGlkIjoiNDBjYWU4ZjgyYTY3NWY0MjIwMzJkOGNhODc4YTdjMWQifQ==</vt:lpwstr>
  </property>
</Properties>
</file>