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pacing w:before="0" w:after="0" w:line="240" w:lineRule="auto"/>
        <w:jc w:val="left"/>
        <w:rPr>
          <w:rFonts w:hint="eastAsia" w:ascii="方正黑体_GBK" w:cs="方正黑体_GBK"/>
          <w:bCs/>
          <w:color w:val="auto"/>
          <w:szCs w:val="32"/>
          <w:lang w:val="en-US" w:eastAsia="zh-CN"/>
        </w:rPr>
      </w:pPr>
      <w:bookmarkStart w:id="0" w:name="_Toc68883189"/>
      <w:bookmarkStart w:id="1" w:name="_Toc20984"/>
      <w:bookmarkStart w:id="2" w:name="_Toc68880544"/>
      <w:bookmarkStart w:id="3" w:name="_Toc14750"/>
      <w:bookmarkStart w:id="4" w:name="_Toc69316336"/>
      <w:bookmarkStart w:id="5" w:name="_Toc74066568"/>
      <w:r>
        <w:rPr>
          <w:rFonts w:hint="eastAsia" w:ascii="方正黑体_GBK" w:cs="方正黑体_GBK"/>
          <w:bCs/>
          <w:color w:val="auto"/>
          <w:szCs w:val="32"/>
          <w:lang w:val="en-US" w:eastAsia="zh-CN"/>
        </w:rPr>
        <w:t>附件3</w:t>
      </w:r>
      <w:bookmarkEnd w:id="0"/>
      <w:bookmarkEnd w:id="1"/>
      <w:bookmarkEnd w:id="2"/>
      <w:bookmarkEnd w:id="3"/>
      <w:bookmarkEnd w:id="4"/>
      <w:bookmarkEnd w:id="5"/>
    </w:p>
    <w:p>
      <w:pPr>
        <w:adjustRightInd/>
        <w:snapToGrid/>
        <w:spacing w:after="0" w:line="660" w:lineRule="exact"/>
        <w:jc w:val="center"/>
        <w:outlineLvl w:val="1"/>
        <w:rPr>
          <w:rFonts w:hint="eastAsia" w:ascii="方正小标宋_GBK" w:eastAsia="方正小标宋_GBK" w:cs="方正小标宋_GBK"/>
          <w:color w:val="auto"/>
          <w:sz w:val="44"/>
          <w:szCs w:val="44"/>
        </w:rPr>
      </w:pPr>
      <w:bookmarkStart w:id="6" w:name="_Toc21363"/>
      <w:bookmarkStart w:id="7" w:name="_Toc1043"/>
      <w:r>
        <w:rPr>
          <w:rFonts w:hint="eastAsia" w:ascii="方正小标宋_GBK" w:eastAsia="方正小标宋_GBK" w:cs="方正小标宋_GBK"/>
          <w:color w:val="auto"/>
          <w:sz w:val="44"/>
          <w:szCs w:val="44"/>
        </w:rPr>
        <w:t>重庆市大型商品交易市场建设负面清单（2021-2025年）</w:t>
      </w:r>
      <w:bookmarkEnd w:id="6"/>
      <w:bookmarkEnd w:id="7"/>
    </w:p>
    <w:p>
      <w:pPr>
        <w:pStyle w:val="4"/>
        <w:spacing w:before="0" w:after="0"/>
        <w:rPr>
          <w:rFonts w:hint="eastAsia"/>
          <w:color w:val="auto"/>
        </w:rPr>
      </w:pPr>
    </w:p>
    <w:tbl>
      <w:tblPr>
        <w:tblStyle w:val="5"/>
        <w:tblW w:w="10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76"/>
        <w:gridCol w:w="1284"/>
        <w:gridCol w:w="2140"/>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adjustRightInd/>
              <w:snapToGrid/>
              <w:spacing w:after="0" w:line="340" w:lineRule="exact"/>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一级分类</w:t>
            </w: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adjustRightInd/>
              <w:snapToGrid/>
              <w:spacing w:after="0" w:line="340" w:lineRule="exact"/>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二级分类</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adjustRightInd/>
              <w:snapToGrid/>
              <w:spacing w:after="0" w:line="340" w:lineRule="exact"/>
              <w:ind w:firstLine="482"/>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4" w:hRule="atLeast"/>
          <w:jc w:val="center"/>
        </w:trPr>
        <w:tc>
          <w:tcPr>
            <w:tcW w:w="11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按面积</w:t>
            </w:r>
          </w:p>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划分</w:t>
            </w: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经营面积≥20万㎡</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tabs>
                <w:tab w:val="left" w:pos="312"/>
              </w:tabs>
              <w:adjustRightInd/>
              <w:snapToGrid/>
              <w:spacing w:after="0" w:line="340" w:lineRule="exact"/>
              <w:jc w:val="both"/>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1.原则上禁止新建、扩建此规模的任何类别生产资料、工业消费品和农副产品市场。</w:t>
            </w:r>
          </w:p>
          <w:p>
            <w:pPr>
              <w:widowControl w:val="0"/>
              <w:tabs>
                <w:tab w:val="left" w:pos="312"/>
              </w:tabs>
              <w:adjustRightInd/>
              <w:snapToGrid/>
              <w:spacing w:after="0" w:line="340" w:lineRule="exact"/>
              <w:jc w:val="both"/>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2.盘活现有</w:t>
            </w:r>
            <w:r>
              <w:rPr>
                <w:rFonts w:hint="eastAsia" w:ascii="方正仿宋_GBK" w:hAnsi="方正仿宋_GBK" w:eastAsia="方正仿宋_GBK" w:cs="方正仿宋_GBK"/>
                <w:color w:val="auto"/>
                <w:kern w:val="2"/>
                <w:sz w:val="24"/>
                <w:szCs w:val="24"/>
                <w:lang w:eastAsia="zh-CN"/>
              </w:rPr>
              <w:t>此</w:t>
            </w:r>
            <w:r>
              <w:rPr>
                <w:rFonts w:hint="eastAsia" w:ascii="方正仿宋_GBK" w:hAnsi="方正仿宋_GBK" w:eastAsia="方正仿宋_GBK" w:cs="方正仿宋_GBK"/>
                <w:color w:val="auto"/>
                <w:kern w:val="2"/>
                <w:sz w:val="24"/>
                <w:szCs w:val="24"/>
              </w:rPr>
              <w:t>规模的各类别市场。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2" w:hRule="atLeast"/>
          <w:jc w:val="center"/>
        </w:trPr>
        <w:tc>
          <w:tcPr>
            <w:tcW w:w="11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20万㎡＞经营面积≥10万㎡</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1.限制新建、扩建此规模的任何类别生产资料、工业消费品和农副产品市场。</w:t>
            </w:r>
          </w:p>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2.盘活现有此规模的各类别市场。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9" w:hRule="atLeast"/>
          <w:jc w:val="center"/>
        </w:trPr>
        <w:tc>
          <w:tcPr>
            <w:tcW w:w="11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经营面积＜10万㎡</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1.控制新建此规模的五金机电、汽摩配件、家居建材、小商品、农副产品市场。</w:t>
            </w:r>
          </w:p>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2.支持依托当地产业优势、资源特色和文化底蕴建设此规模的特色商品交易市场。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176"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按类别</w:t>
            </w:r>
          </w:p>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划分</w:t>
            </w: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钢材</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严控无产业支撑新建扩建该类市场。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176" w:type="dxa"/>
            <w:vMerge w:val="continue"/>
            <w:tcBorders>
              <w:left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五金机电</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严控无产业支撑新建扩建该类市场。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176" w:type="dxa"/>
            <w:vMerge w:val="continue"/>
            <w:tcBorders>
              <w:left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汽摩配件</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严控无产业支撑新建扩建该类市场。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176" w:type="dxa"/>
            <w:vMerge w:val="continue"/>
            <w:tcBorders>
              <w:left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家居建材</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严控新建扩建该类市场。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176" w:type="dxa"/>
            <w:vMerge w:val="continue"/>
            <w:tcBorders>
              <w:left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小商品</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严控新建扩建该类市场。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8" w:hRule="atLeast"/>
          <w:jc w:val="center"/>
        </w:trPr>
        <w:tc>
          <w:tcPr>
            <w:tcW w:w="1176"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农副产品</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主城都市区农产品批发市场根据</w:t>
            </w:r>
            <w:r>
              <w:rPr>
                <w:rFonts w:hint="eastAsia" w:ascii="方正仿宋_GBK" w:hAnsi="方正仿宋_GBK" w:eastAsia="方正仿宋_GBK" w:cs="方正仿宋_GBK"/>
                <w:color w:val="auto"/>
                <w:kern w:val="2"/>
                <w:sz w:val="32"/>
                <w:szCs w:val="20"/>
              </w:rPr>
              <w:t>《</w:t>
            </w:r>
            <w:r>
              <w:rPr>
                <w:rFonts w:hint="eastAsia" w:ascii="方正仿宋_GBK" w:hAnsi="方正仿宋_GBK" w:eastAsia="方正仿宋_GBK" w:cs="方正仿宋_GBK"/>
                <w:color w:val="auto"/>
                <w:kern w:val="2"/>
                <w:sz w:val="24"/>
                <w:szCs w:val="24"/>
              </w:rPr>
              <w:t>重庆市人民政府办公厅关于推进主城都市区农产品批发市场科学合理布局和持续健康发展的意见》进行布局建设，主城都市区以外的其他区县原则上各区县只布局1个农产品批发市场，其中，万州区农产品批发市场经营面积控制在5万㎡以内，</w:t>
            </w:r>
            <w:r>
              <w:rPr>
                <w:rFonts w:hint="eastAsia" w:ascii="方正仿宋_GBK" w:hAnsi="方正仿宋_GBK" w:eastAsia="方正仿宋_GBK" w:cs="方正仿宋_GBK"/>
                <w:color w:val="auto"/>
                <w:kern w:val="2"/>
                <w:sz w:val="24"/>
                <w:szCs w:val="24"/>
                <w:lang w:eastAsia="zh-CN"/>
              </w:rPr>
              <w:t>“</w:t>
            </w:r>
            <w:r>
              <w:rPr>
                <w:rFonts w:hint="eastAsia" w:ascii="方正仿宋_GBK" w:hAnsi="方正仿宋_GBK" w:eastAsia="方正仿宋_GBK" w:cs="方正仿宋_GBK"/>
                <w:color w:val="auto"/>
                <w:kern w:val="2"/>
                <w:sz w:val="24"/>
                <w:szCs w:val="24"/>
              </w:rPr>
              <w:t>两群</w:t>
            </w:r>
            <w:r>
              <w:rPr>
                <w:rFonts w:hint="eastAsia" w:ascii="方正仿宋_GBK" w:hAnsi="方正仿宋_GBK" w:eastAsia="方正仿宋_GBK" w:cs="方正仿宋_GBK"/>
                <w:color w:val="auto"/>
                <w:kern w:val="2"/>
                <w:sz w:val="24"/>
                <w:szCs w:val="24"/>
                <w:lang w:eastAsia="zh-CN"/>
              </w:rPr>
              <w:t>”</w:t>
            </w:r>
            <w:r>
              <w:rPr>
                <w:rFonts w:hint="eastAsia" w:ascii="方正仿宋_GBK" w:hAnsi="方正仿宋_GBK" w:eastAsia="方正仿宋_GBK" w:cs="方正仿宋_GBK"/>
                <w:color w:val="auto"/>
                <w:kern w:val="2"/>
                <w:sz w:val="24"/>
                <w:szCs w:val="24"/>
              </w:rPr>
              <w:t>其他区县控制在1.5万㎡以内。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6" w:hRule="atLeast"/>
          <w:jc w:val="center"/>
        </w:trPr>
        <w:tc>
          <w:tcPr>
            <w:tcW w:w="1176" w:type="dxa"/>
            <w:vMerge w:val="restart"/>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按区域</w:t>
            </w:r>
          </w:p>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划分</w:t>
            </w:r>
          </w:p>
        </w:tc>
        <w:tc>
          <w:tcPr>
            <w:tcW w:w="1284" w:type="dxa"/>
            <w:vMerge w:val="restart"/>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widowControl w:val="0"/>
              <w:adjustRightInd/>
              <w:snapToGrid/>
              <w:spacing w:after="0" w:line="340" w:lineRule="exact"/>
              <w:jc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主城都市区</w:t>
            </w:r>
          </w:p>
        </w:tc>
        <w:tc>
          <w:tcPr>
            <w:tcW w:w="214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中心城区</w:t>
            </w:r>
          </w:p>
        </w:tc>
        <w:tc>
          <w:tcPr>
            <w:tcW w:w="55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tabs>
                <w:tab w:val="left" w:pos="312"/>
              </w:tabs>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1.严控新建和扩建钢材、五金机电、汽摩配件、家居建材、小商品类等批发市场。</w:t>
            </w:r>
          </w:p>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2.禁止需搬迁或关闭的市场整体或分散搬迁至内环以内区域。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6" w:type="dxa"/>
            <w:vMerge w:val="continue"/>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1284" w:type="dxa"/>
            <w:vMerge w:val="continue"/>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214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同城化发展先行区</w:t>
            </w:r>
          </w:p>
        </w:tc>
        <w:tc>
          <w:tcPr>
            <w:tcW w:w="552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1.限制新建、扩建经营面积超过10万㎡的市场。</w:t>
            </w:r>
          </w:p>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2.控制新建和扩建五金机电、汽摩配件、家居建材、小商品类批发市场。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6" w:type="dxa"/>
            <w:vMerge w:val="continue"/>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1284" w:type="dxa"/>
            <w:vMerge w:val="continue"/>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214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重要战略支点城市</w:t>
            </w:r>
          </w:p>
        </w:tc>
        <w:tc>
          <w:tcPr>
            <w:tcW w:w="552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76" w:type="dxa"/>
            <w:vMerge w:val="continue"/>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1284" w:type="dxa"/>
            <w:vMerge w:val="continue"/>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2140"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桥头堡城市</w:t>
            </w:r>
          </w:p>
        </w:tc>
        <w:tc>
          <w:tcPr>
            <w:tcW w:w="552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1176" w:type="dxa"/>
            <w:vMerge w:val="continue"/>
            <w:tcBorders>
              <w:left w:val="single" w:color="auto"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渝东北三峡库区城镇群</w:t>
            </w:r>
          </w:p>
        </w:tc>
        <w:tc>
          <w:tcPr>
            <w:tcW w:w="552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1.限制新建、扩建经营面积超过10万㎡的市场。</w:t>
            </w:r>
          </w:p>
          <w:p>
            <w:pPr>
              <w:widowControl w:val="0"/>
              <w:adjustRightInd/>
              <w:snapToGrid/>
              <w:spacing w:after="0" w:line="340" w:lineRule="exact"/>
              <w:jc w:val="both"/>
              <w:textAlignment w:val="center"/>
              <w:rPr>
                <w:rFonts w:hint="eastAsia" w:ascii="方正仿宋_GBK" w:hAnsi="方正仿宋_GBK" w:eastAsia="方正仿宋_GBK" w:cs="方正仿宋_GBK"/>
                <w:color w:val="auto"/>
                <w:kern w:val="2"/>
                <w:sz w:val="24"/>
                <w:szCs w:val="24"/>
              </w:rPr>
            </w:pPr>
            <w:r>
              <w:rPr>
                <w:rFonts w:hint="eastAsia" w:ascii="方正仿宋_GBK" w:hAnsi="方正仿宋_GBK" w:eastAsia="方正仿宋_GBK" w:cs="方正仿宋_GBK"/>
                <w:color w:val="auto"/>
                <w:kern w:val="2"/>
                <w:sz w:val="24"/>
                <w:szCs w:val="24"/>
              </w:rPr>
              <w:t>2.控制新建和扩建五金机电、汽摩配件、家居建材、小商品类批发市场。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1176" w:type="dxa"/>
            <w:vMerge w:val="continue"/>
            <w:tcBorders>
              <w:left w:val="single" w:color="auto" w:sz="4" w:space="0"/>
              <w:bottom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c>
          <w:tcPr>
            <w:tcW w:w="342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val="0"/>
              <w:adjustRightInd/>
              <w:snapToGrid/>
              <w:spacing w:after="0" w:line="340" w:lineRule="exact"/>
              <w:jc w:val="center"/>
              <w:textAlignment w:val="center"/>
              <w:rPr>
                <w:rFonts w:hint="eastAsia" w:ascii="方正仿宋_GBK" w:hAnsi="方正仿宋_GBK" w:eastAsia="方正仿宋_GBK" w:cs="方正仿宋_GBK"/>
                <w:b/>
                <w:color w:val="auto"/>
                <w:sz w:val="24"/>
                <w:szCs w:val="24"/>
              </w:rPr>
            </w:pPr>
            <w:r>
              <w:rPr>
                <w:rFonts w:hint="eastAsia" w:ascii="方正仿宋_GBK" w:hAnsi="方正仿宋_GBK" w:eastAsia="方正仿宋_GBK" w:cs="方正仿宋_GBK"/>
                <w:color w:val="auto"/>
                <w:kern w:val="2"/>
                <w:sz w:val="24"/>
                <w:szCs w:val="24"/>
              </w:rPr>
              <w:t>渝东南武陵山区城镇群</w:t>
            </w:r>
          </w:p>
        </w:tc>
        <w:tc>
          <w:tcPr>
            <w:tcW w:w="552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方正仿宋_GBK" w:hAnsi="方正仿宋_GBK" w:eastAsia="方正仿宋_GBK" w:cs="方正仿宋_GBK"/>
              </w:rPr>
            </w:pPr>
          </w:p>
        </w:tc>
      </w:tr>
    </w:tbl>
    <w:p>
      <w:pPr>
        <w:adjustRightInd/>
        <w:spacing w:after="0"/>
        <w:jc w:val="both"/>
        <w:outlineLvl w:val="1"/>
        <w:rPr>
          <w:rFonts w:ascii="方正小标宋_GBK" w:eastAsia="方正小标宋_GBK" w:cs="方正小标宋_GBK"/>
          <w:color w:val="auto"/>
          <w:sz w:val="44"/>
          <w:szCs w:val="44"/>
          <w:lang w:val="en-US" w:eastAsia="zh-CN"/>
        </w:rPr>
      </w:pPr>
    </w:p>
    <w:p>
      <w:pPr>
        <w:pStyle w:val="7"/>
        <w:rPr>
          <w:rFonts w:ascii="方正小标宋_GBK" w:eastAsia="方正小标宋_GBK" w:cs="方正小标宋_GBK"/>
          <w:color w:val="auto"/>
          <w:sz w:val="44"/>
          <w:szCs w:val="44"/>
          <w:lang w:val="en-US" w:eastAsia="zh-CN"/>
        </w:r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278D8"/>
    <w:rsid w:val="50E27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楷体_GBK" w:cs="Times New Roman"/>
      <w:kern w:val="2"/>
      <w:sz w:val="32"/>
      <w:szCs w:val="22"/>
      <w:lang w:val="en-US" w:eastAsia="zh-CN" w:bidi="ar-SA"/>
    </w:rPr>
  </w:style>
  <w:style w:type="paragraph" w:styleId="3">
    <w:name w:val="heading 2"/>
    <w:basedOn w:val="1"/>
    <w:next w:val="1"/>
    <w:qFormat/>
    <w:uiPriority w:val="0"/>
    <w:pPr>
      <w:keepNext/>
      <w:keepLines/>
      <w:widowControl w:val="0"/>
      <w:spacing w:before="260" w:after="260" w:line="413" w:lineRule="auto"/>
      <w:jc w:val="center"/>
      <w:outlineLvl w:val="1"/>
    </w:pPr>
    <w:rPr>
      <w:rFonts w:ascii="Arial" w:hAnsi="Arial" w:eastAsia="方正黑体_GBK" w:cs="Times New Roman"/>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cs="Times New Roman"/>
      <w:b/>
      <w:bCs/>
      <w:szCs w:val="32"/>
    </w:rPr>
  </w:style>
  <w:style w:type="paragraph" w:customStyle="1" w:styleId="7">
    <w:name w:val="Default"/>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2021-12-13T08:33:00Z</dcterms:created>
  <dc:creator>山水水木</dc:creator>
  <cp:lastModifiedBy>山水水木</cp:lastModifiedBy>
  <dcterms:modified xsi:type="dcterms:W3CDTF">2021-12-13T08:34:49Z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783429485BDE4357AB82DA27A5B84991</vt:lpwstr>
  </property>
</Properties>
</file>