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39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outlineLvl w:val="9"/>
        <w:rPr>
          <w:rFonts w:hint="eastAsia" w:asci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eastAsia="方正黑体_GBK" w:cs="方正黑体_GBK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33B1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展品门到门物流运输</w:t>
      </w:r>
      <w:r>
        <w:rPr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费</w:t>
      </w:r>
      <w:r>
        <w:rPr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率</w:t>
      </w:r>
      <w:r>
        <w:rPr>
          <w:rFonts w:hint="eastAsia" w:asci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报价明细表</w:t>
      </w:r>
    </w:p>
    <w:p w14:paraId="4E4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textAlignment w:val="auto"/>
        <w:rPr>
          <w:rFonts w:hint="eastAsia" w:ascii="Times New Roman" w:hAnsi="Times New Roman" w:eastAsia="方正仿宋_GBK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宋体"/>
          <w:color w:val="auto"/>
          <w:sz w:val="30"/>
          <w:szCs w:val="30"/>
          <w:highlight w:val="none"/>
          <w:lang w:val="en-US" w:eastAsia="zh-CN"/>
        </w:rPr>
        <w:t>金额单位：元</w:t>
      </w:r>
    </w:p>
    <w:tbl>
      <w:tblPr>
        <w:tblStyle w:val="5"/>
        <w:tblW w:w="11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61"/>
        <w:gridCol w:w="1072"/>
        <w:gridCol w:w="1395"/>
        <w:gridCol w:w="2709"/>
        <w:gridCol w:w="1641"/>
        <w:gridCol w:w="2018"/>
      </w:tblGrid>
      <w:tr w14:paraId="7915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5" w:type="dxa"/>
            <w:vAlign w:val="center"/>
          </w:tcPr>
          <w:p w14:paraId="7AF0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gridSpan w:val="3"/>
            <w:vAlign w:val="center"/>
          </w:tcPr>
          <w:p w14:paraId="5A64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09" w:type="dxa"/>
            <w:vAlign w:val="center"/>
          </w:tcPr>
          <w:p w14:paraId="6BE8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641" w:type="dxa"/>
            <w:vAlign w:val="center"/>
          </w:tcPr>
          <w:p w14:paraId="654A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2018" w:type="dxa"/>
            <w:vAlign w:val="center"/>
          </w:tcPr>
          <w:p w14:paraId="5805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964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95" w:type="dxa"/>
            <w:vMerge w:val="restart"/>
            <w:vAlign w:val="center"/>
          </w:tcPr>
          <w:p w14:paraId="3346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1561" w:type="dxa"/>
            <w:vMerge w:val="restart"/>
            <w:vAlign w:val="center"/>
          </w:tcPr>
          <w:p w14:paraId="7EB5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上门提货</w:t>
            </w:r>
          </w:p>
        </w:tc>
        <w:tc>
          <w:tcPr>
            <w:tcW w:w="2467" w:type="dxa"/>
            <w:gridSpan w:val="2"/>
            <w:vAlign w:val="center"/>
          </w:tcPr>
          <w:p w14:paraId="49AB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0—20公里</w:t>
            </w:r>
          </w:p>
        </w:tc>
        <w:tc>
          <w:tcPr>
            <w:tcW w:w="2709" w:type="dxa"/>
            <w:vAlign w:val="center"/>
          </w:tcPr>
          <w:p w14:paraId="0AA4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252F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2581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按70立方米计</w:t>
            </w:r>
          </w:p>
        </w:tc>
      </w:tr>
      <w:tr w14:paraId="5A10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95" w:type="dxa"/>
            <w:vMerge w:val="continue"/>
            <w:vAlign w:val="center"/>
          </w:tcPr>
          <w:p w14:paraId="4500F0FD"/>
        </w:tc>
        <w:tc>
          <w:tcPr>
            <w:tcW w:w="1561" w:type="dxa"/>
            <w:vMerge w:val="continue"/>
            <w:vAlign w:val="center"/>
          </w:tcPr>
          <w:p w14:paraId="67C97CC9"/>
        </w:tc>
        <w:tc>
          <w:tcPr>
            <w:tcW w:w="2467" w:type="dxa"/>
            <w:gridSpan w:val="2"/>
            <w:vAlign w:val="center"/>
          </w:tcPr>
          <w:p w14:paraId="7EEC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21—50公里</w:t>
            </w:r>
          </w:p>
        </w:tc>
        <w:tc>
          <w:tcPr>
            <w:tcW w:w="2709" w:type="dxa"/>
            <w:vAlign w:val="center"/>
          </w:tcPr>
          <w:p w14:paraId="7415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5165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17D7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按3立方米计</w:t>
            </w:r>
          </w:p>
        </w:tc>
      </w:tr>
      <w:tr w14:paraId="2DE8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95" w:type="dxa"/>
            <w:vMerge w:val="continue"/>
            <w:vAlign w:val="center"/>
          </w:tcPr>
          <w:p w14:paraId="1B18ACFA"/>
        </w:tc>
        <w:tc>
          <w:tcPr>
            <w:tcW w:w="1561" w:type="dxa"/>
            <w:vMerge w:val="continue"/>
            <w:vAlign w:val="center"/>
          </w:tcPr>
          <w:p w14:paraId="0F3F9ADB"/>
        </w:tc>
        <w:tc>
          <w:tcPr>
            <w:tcW w:w="2467" w:type="dxa"/>
            <w:gridSpan w:val="2"/>
            <w:vAlign w:val="center"/>
          </w:tcPr>
          <w:p w14:paraId="6017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超过50公里</w:t>
            </w:r>
          </w:p>
        </w:tc>
        <w:tc>
          <w:tcPr>
            <w:tcW w:w="2709" w:type="dxa"/>
            <w:vAlign w:val="center"/>
          </w:tcPr>
          <w:p w14:paraId="12C1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</w:t>
            </w:r>
            <w:r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公里/立方米</w:t>
            </w:r>
          </w:p>
        </w:tc>
        <w:tc>
          <w:tcPr>
            <w:tcW w:w="1641" w:type="dxa"/>
            <w:vAlign w:val="center"/>
          </w:tcPr>
          <w:p w14:paraId="7278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CAA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按60公里/2立方米计</w:t>
            </w:r>
          </w:p>
        </w:tc>
      </w:tr>
      <w:tr w14:paraId="0B36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95" w:type="dxa"/>
            <w:vMerge w:val="restart"/>
            <w:vAlign w:val="center"/>
          </w:tcPr>
          <w:p w14:paraId="0510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1561" w:type="dxa"/>
            <w:vMerge w:val="restart"/>
            <w:vAlign w:val="center"/>
          </w:tcPr>
          <w:p w14:paraId="3D6F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重庆集货地—米兰展台</w:t>
            </w:r>
          </w:p>
        </w:tc>
        <w:tc>
          <w:tcPr>
            <w:tcW w:w="1072" w:type="dxa"/>
            <w:vMerge w:val="restart"/>
            <w:vAlign w:val="center"/>
          </w:tcPr>
          <w:p w14:paraId="5D60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1.去程</w:t>
            </w:r>
          </w:p>
        </w:tc>
        <w:tc>
          <w:tcPr>
            <w:tcW w:w="1395" w:type="dxa"/>
            <w:vAlign w:val="center"/>
          </w:tcPr>
          <w:p w14:paraId="4770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普货</w:t>
            </w:r>
          </w:p>
        </w:tc>
        <w:tc>
          <w:tcPr>
            <w:tcW w:w="2709" w:type="dxa"/>
            <w:vAlign w:val="center"/>
          </w:tcPr>
          <w:p w14:paraId="7ABD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2AEE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1388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按34立方米计</w:t>
            </w:r>
          </w:p>
        </w:tc>
      </w:tr>
      <w:tr w14:paraId="5A7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95" w:type="dxa"/>
            <w:vMerge w:val="continue"/>
            <w:vAlign w:val="center"/>
          </w:tcPr>
          <w:p w14:paraId="161F7F13"/>
        </w:tc>
        <w:tc>
          <w:tcPr>
            <w:tcW w:w="1561" w:type="dxa"/>
            <w:vMerge w:val="continue"/>
            <w:vAlign w:val="center"/>
          </w:tcPr>
          <w:p w14:paraId="7E211A9B"/>
        </w:tc>
        <w:tc>
          <w:tcPr>
            <w:tcW w:w="1072" w:type="dxa"/>
            <w:vMerge w:val="continue"/>
            <w:vAlign w:val="center"/>
          </w:tcPr>
          <w:p w14:paraId="24652852"/>
        </w:tc>
        <w:tc>
          <w:tcPr>
            <w:tcW w:w="1395" w:type="dxa"/>
            <w:vAlign w:val="center"/>
          </w:tcPr>
          <w:p w14:paraId="3C45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危险品</w:t>
            </w:r>
          </w:p>
        </w:tc>
        <w:tc>
          <w:tcPr>
            <w:tcW w:w="2709" w:type="dxa"/>
            <w:vAlign w:val="center"/>
          </w:tcPr>
          <w:p w14:paraId="7BB2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69DC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05B8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按39立方米计</w:t>
            </w:r>
          </w:p>
        </w:tc>
      </w:tr>
      <w:tr w14:paraId="2C0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95" w:type="dxa"/>
            <w:vMerge w:val="continue"/>
            <w:vAlign w:val="center"/>
          </w:tcPr>
          <w:p w14:paraId="57CDD063"/>
        </w:tc>
        <w:tc>
          <w:tcPr>
            <w:tcW w:w="1561" w:type="dxa"/>
            <w:vMerge w:val="continue"/>
            <w:vAlign w:val="center"/>
          </w:tcPr>
          <w:p w14:paraId="3A9844F4"/>
        </w:tc>
        <w:tc>
          <w:tcPr>
            <w:tcW w:w="1072" w:type="dxa"/>
            <w:vMerge w:val="restart"/>
            <w:vAlign w:val="center"/>
          </w:tcPr>
          <w:p w14:paraId="5C4D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2.回程</w:t>
            </w:r>
          </w:p>
        </w:tc>
        <w:tc>
          <w:tcPr>
            <w:tcW w:w="1395" w:type="dxa"/>
            <w:vAlign w:val="center"/>
          </w:tcPr>
          <w:p w14:paraId="2782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普货</w:t>
            </w:r>
          </w:p>
        </w:tc>
        <w:tc>
          <w:tcPr>
            <w:tcW w:w="2709" w:type="dxa"/>
            <w:vAlign w:val="center"/>
          </w:tcPr>
          <w:p w14:paraId="6610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1A71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66C5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按1立方米计</w:t>
            </w:r>
          </w:p>
        </w:tc>
      </w:tr>
      <w:tr w14:paraId="4E00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5" w:type="dxa"/>
            <w:vMerge w:val="continue"/>
            <w:vAlign w:val="center"/>
          </w:tcPr>
          <w:p w14:paraId="5241C703"/>
        </w:tc>
        <w:tc>
          <w:tcPr>
            <w:tcW w:w="1561" w:type="dxa"/>
            <w:vMerge w:val="continue"/>
            <w:vAlign w:val="center"/>
          </w:tcPr>
          <w:p w14:paraId="34A38FAA"/>
        </w:tc>
        <w:tc>
          <w:tcPr>
            <w:tcW w:w="1072" w:type="dxa"/>
            <w:vMerge w:val="continue"/>
            <w:vAlign w:val="center"/>
          </w:tcPr>
          <w:p w14:paraId="689C7881"/>
        </w:tc>
        <w:tc>
          <w:tcPr>
            <w:tcW w:w="1395" w:type="dxa"/>
            <w:vAlign w:val="center"/>
          </w:tcPr>
          <w:p w14:paraId="54D5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危险品</w:t>
            </w:r>
          </w:p>
        </w:tc>
        <w:tc>
          <w:tcPr>
            <w:tcW w:w="2709" w:type="dxa"/>
            <w:vAlign w:val="center"/>
          </w:tcPr>
          <w:p w14:paraId="4675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**元/立方米</w:t>
            </w:r>
          </w:p>
        </w:tc>
        <w:tc>
          <w:tcPr>
            <w:tcW w:w="1641" w:type="dxa"/>
            <w:vAlign w:val="center"/>
          </w:tcPr>
          <w:p w14:paraId="41E6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0E1A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按1立方米计</w:t>
            </w:r>
          </w:p>
        </w:tc>
      </w:tr>
      <w:tr w14:paraId="18CF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95" w:type="dxa"/>
            <w:vAlign w:val="center"/>
          </w:tcPr>
          <w:p w14:paraId="18E4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4028" w:type="dxa"/>
            <w:gridSpan w:val="3"/>
            <w:vAlign w:val="center"/>
          </w:tcPr>
          <w:p w14:paraId="783C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中国意大利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两地</w:t>
            </w: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进出口清关费用</w:t>
            </w:r>
          </w:p>
        </w:tc>
        <w:tc>
          <w:tcPr>
            <w:tcW w:w="2709" w:type="dxa"/>
            <w:vAlign w:val="center"/>
          </w:tcPr>
          <w:p w14:paraId="2EED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**元/票/展商</w:t>
            </w:r>
          </w:p>
        </w:tc>
        <w:tc>
          <w:tcPr>
            <w:tcW w:w="1641" w:type="dxa"/>
            <w:vAlign w:val="center"/>
          </w:tcPr>
          <w:p w14:paraId="7896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7BB0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按30家计</w:t>
            </w:r>
          </w:p>
        </w:tc>
      </w:tr>
      <w:tr w14:paraId="56DE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95" w:type="dxa"/>
            <w:vAlign w:val="center"/>
          </w:tcPr>
          <w:p w14:paraId="5474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4028" w:type="dxa"/>
            <w:gridSpan w:val="3"/>
            <w:vAlign w:val="center"/>
          </w:tcPr>
          <w:p w14:paraId="638B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保险费</w:t>
            </w:r>
          </w:p>
        </w:tc>
        <w:tc>
          <w:tcPr>
            <w:tcW w:w="2709" w:type="dxa"/>
            <w:vAlign w:val="center"/>
          </w:tcPr>
          <w:p w14:paraId="51BD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按照货值**%收取，最低收费CNY ** /票/展商</w:t>
            </w:r>
          </w:p>
        </w:tc>
        <w:tc>
          <w:tcPr>
            <w:tcW w:w="1641" w:type="dxa"/>
            <w:vAlign w:val="center"/>
          </w:tcPr>
          <w:p w14:paraId="415F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3CBC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按30家最低收费计</w:t>
            </w:r>
          </w:p>
        </w:tc>
      </w:tr>
      <w:tr w14:paraId="542C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Align w:val="center"/>
          </w:tcPr>
          <w:p w14:paraId="216D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4028" w:type="dxa"/>
            <w:gridSpan w:val="3"/>
            <w:vAlign w:val="center"/>
          </w:tcPr>
          <w:p w14:paraId="4C8F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auto"/>
              <w:rPr>
                <w:rFonts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总费用</w:t>
            </w:r>
          </w:p>
        </w:tc>
        <w:tc>
          <w:tcPr>
            <w:tcW w:w="2709" w:type="dxa"/>
            <w:vAlign w:val="center"/>
          </w:tcPr>
          <w:p w14:paraId="65E8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0897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6E75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88B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仿宋_GBK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0"/>
          <w:szCs w:val="30"/>
          <w:highlight w:val="none"/>
          <w:lang w:val="en-US" w:eastAsia="zh-CN"/>
        </w:rPr>
        <w:t xml:space="preserve">                          </w:t>
      </w:r>
    </w:p>
    <w:p w14:paraId="558A452F">
      <w:pPr>
        <w:spacing w:line="560" w:lineRule="exact"/>
        <w:ind w:right="482"/>
        <w:rPr>
          <w:rFonts w:hint="eastAsia" w:ascii="Times New Roman" w:hAnsi="Times New Roman" w:eastAsia="方正仿宋_GBK" w:cs="方正仿宋_GB2312"/>
          <w:sz w:val="28"/>
          <w:szCs w:val="24"/>
        </w:rPr>
      </w:pPr>
      <w:r>
        <w:rPr>
          <w:rFonts w:hint="eastAsia" w:ascii="Times New Roman" w:hAnsi="Times New Roman" w:eastAsia="方正仿宋_GBK" w:cs="方正仿宋_GB2312"/>
          <w:sz w:val="28"/>
          <w:szCs w:val="24"/>
        </w:rPr>
        <w:t>注：1.请供应商根据本单位组价的实际情况自行填写表格，分项的内容不限；</w:t>
      </w:r>
    </w:p>
    <w:p w14:paraId="73115C92">
      <w:pPr>
        <w:spacing w:line="560" w:lineRule="exact"/>
        <w:ind w:right="482" w:firstLine="560" w:firstLineChars="200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K" w:cs="方正仿宋_GB2312"/>
          <w:sz w:val="28"/>
          <w:szCs w:val="24"/>
        </w:rPr>
        <w:t>2.若供应商需要对行或列进行扩展的可自行调整。</w:t>
      </w:r>
    </w:p>
    <w:p w14:paraId="4DAC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400"/>
        <w:textAlignment w:val="auto"/>
        <w:rPr>
          <w:rFonts w:hint="eastAsia" w:ascii="Times New Roman" w:hAnsi="Times New Roman" w:eastAsia="方正仿宋_GBK" w:cs="宋体"/>
          <w:color w:val="auto"/>
          <w:sz w:val="30"/>
          <w:szCs w:val="30"/>
          <w:highlight w:val="none"/>
          <w:lang w:val="en-US" w:eastAsia="zh-CN"/>
        </w:rPr>
      </w:pPr>
    </w:p>
    <w:p w14:paraId="4AC8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lang w:val="en-US" w:eastAsia="zh-CN"/>
        </w:rPr>
        <w:t xml:space="preserve">供应商（公章）：            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u w:val="none"/>
          <w:lang w:val="en-US" w:eastAsia="zh-CN"/>
        </w:rPr>
        <w:t>法定代表人或法定代表人授权代表：</w:t>
      </w:r>
    </w:p>
    <w:p w14:paraId="3893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40" w:firstLineChars="1800"/>
        <w:textAlignment w:val="auto"/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u w:val="none"/>
          <w:lang w:val="en-US" w:eastAsia="zh-CN"/>
        </w:rPr>
        <w:t>（签字或盖章）</w:t>
      </w:r>
    </w:p>
    <w:p w14:paraId="04CEA4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lang w:eastAsia="zh-CN"/>
        </w:rPr>
      </w:pPr>
    </w:p>
    <w:p w14:paraId="633AF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0" w:firstLineChars="2100"/>
        <w:textAlignment w:val="auto"/>
        <w:rPr>
          <w:rFonts w:hint="eastAsia" w:ascii="Times New Roman" w:hAnsi="Times New Roman" w:eastAsia="方正仿宋_GBK" w:cs="方正仿宋_GBK"/>
          <w:color w:val="auto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highlight w:val="none"/>
          <w:lang w:val="en-US" w:eastAsia="zh-CN"/>
        </w:rPr>
        <w:t xml:space="preserve">      月      日</w:t>
      </w:r>
    </w:p>
    <w:p w14:paraId="1297AF69"/>
    <w:sectPr>
      <w:pgSz w:w="11906" w:h="16838"/>
      <w:pgMar w:top="1440" w:right="1080" w:bottom="1440" w:left="1080" w:header="851" w:footer="992" w:gutter="0"/>
      <w:cols w:space="720" w:num="1"/>
      <w:rtlGutter w:val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5324"/>
    <w:rsid w:val="31AA4FD0"/>
    <w:rsid w:val="FF7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after="120" w:line="240" w:lineRule="auto"/>
      <w:ind w:left="200" w:leftChars="200" w:firstLine="200" w:firstLineChars="200"/>
    </w:pPr>
  </w:style>
  <w:style w:type="paragraph" w:styleId="3">
    <w:name w:val="Body Text Indent"/>
    <w:basedOn w:val="1"/>
    <w:next w:val="1"/>
    <w:uiPriority w:val="0"/>
    <w:pPr>
      <w:spacing w:line="700" w:lineRule="exact"/>
      <w:ind w:left="960"/>
    </w:pPr>
    <w:rPr>
      <w:sz w:val="4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354</Characters>
  <Lines>0</Lines>
  <Paragraphs>0</Paragraphs>
  <TotalTime>0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2025-08-08T17:59:00Z</dcterms:created>
  <dc:creator>R Q</dc:creator>
  <cp:lastModifiedBy>ASUS</cp:lastModifiedBy>
  <dcterms:modified xsi:type="dcterms:W3CDTF">2025-08-08T14:44:53Z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5753461721A24E0CB7F79259535511CA_13</vt:lpwstr>
  </property>
</Properties>
</file>