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val="0"/>
        <w:spacing w:line="240" w:lineRule="auto"/>
        <w:jc w:val="left"/>
        <w:textAlignment w:val="auto"/>
        <w:rPr>
          <w:rFonts w:hint="eastAsia" w:ascii="方正黑体_GBK" w:hAnsi="方正黑体_GBK" w:eastAsia="方正黑体_GBK" w:cs="方正黑体_GBK"/>
          <w:sz w:val="32"/>
          <w:szCs w:val="32"/>
          <w:lang w:val="en-US" w:eastAsia="zh-CN"/>
        </w:rPr>
      </w:pPr>
      <w:bookmarkStart w:id="0" w:name="_GoBack"/>
      <w:bookmarkEnd w:id="0"/>
      <w:r>
        <w:rPr>
          <w:rFonts w:hint="eastAsia" w:ascii="方正黑体_GBK" w:hAnsi="方正黑体_GBK" w:eastAsia="方正黑体_GBK" w:cs="方正黑体_GBK"/>
          <w:sz w:val="32"/>
          <w:szCs w:val="32"/>
          <w:lang w:val="en-US" w:eastAsia="zh-CN"/>
        </w:rPr>
        <w:t>附件2</w:t>
      </w:r>
    </w:p>
    <w:p>
      <w:pPr>
        <w:keepNext w:val="0"/>
        <w:keepLines w:val="0"/>
        <w:pageBreakBefore w:val="0"/>
        <w:widowControl w:val="0"/>
        <w:shd w:val="clear" w:color="auto" w:fill="auto"/>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方正小标宋_GBK" w:eastAsia="方正小标宋_GBK" w:cs="方正小标宋_GBK"/>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小标宋_GBK" w:cs="Times New Roman"/>
          <w:snapToGrid w:val="0"/>
          <w:kern w:val="0"/>
          <w:sz w:val="44"/>
          <w:szCs w:val="44"/>
          <w:lang w:eastAsia="zh-CN" w:bidi="ar"/>
        </w:rPr>
      </w:pPr>
      <w:r>
        <w:rPr>
          <w:rFonts w:hint="default" w:ascii="Times New Roman" w:hAnsi="Times New Roman" w:eastAsia="方正小标宋_GBK" w:cs="Times New Roman"/>
          <w:color w:val="auto"/>
          <w:sz w:val="44"/>
          <w:szCs w:val="44"/>
          <w:highlight w:val="none"/>
        </w:rPr>
        <w:t>关于</w:t>
      </w:r>
      <w:r>
        <w:rPr>
          <w:rFonts w:hint="default" w:ascii="Times New Roman" w:hAnsi="Times New Roman" w:eastAsia="方正小标宋_GBK" w:cs="Times New Roman"/>
          <w:color w:val="auto"/>
          <w:sz w:val="44"/>
          <w:szCs w:val="44"/>
          <w:highlight w:val="none"/>
          <w:lang w:val="en-US" w:eastAsia="zh-CN"/>
        </w:rPr>
        <w:t>《</w:t>
      </w:r>
      <w:r>
        <w:rPr>
          <w:rFonts w:hint="default" w:ascii="Times New Roman" w:hAnsi="Times New Roman" w:eastAsia="方正小标宋_GBK" w:cs="Times New Roman"/>
          <w:color w:val="auto"/>
          <w:sz w:val="44"/>
          <w:szCs w:val="44"/>
          <w:highlight w:val="none"/>
        </w:rPr>
        <w:t>重庆市</w:t>
      </w:r>
      <w:r>
        <w:rPr>
          <w:rFonts w:hint="default" w:ascii="Times New Roman" w:hAnsi="Times New Roman" w:eastAsia="方正小标宋_GBK" w:cs="Times New Roman"/>
          <w:snapToGrid w:val="0"/>
          <w:kern w:val="0"/>
          <w:sz w:val="44"/>
          <w:szCs w:val="44"/>
          <w:lang w:eastAsia="zh-CN" w:bidi="ar"/>
        </w:rPr>
        <w:t>全面融入共建“一带一路”加快</w:t>
      </w:r>
    </w:p>
    <w:p>
      <w:pPr>
        <w:keepNext w:val="0"/>
        <w:keepLines w:val="0"/>
        <w:pageBreakBefore w:val="0"/>
        <w:widowControl w:val="0"/>
        <w:shd w:val="clear" w:color="auto" w:fill="auto"/>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小标宋_GBK" w:cs="Times New Roman"/>
          <w:color w:val="auto"/>
          <w:sz w:val="44"/>
          <w:szCs w:val="44"/>
          <w:highlight w:val="none"/>
        </w:rPr>
      </w:pPr>
      <w:r>
        <w:rPr>
          <w:rFonts w:hint="default" w:ascii="Times New Roman" w:hAnsi="Times New Roman" w:eastAsia="方正小标宋_GBK" w:cs="Times New Roman"/>
          <w:snapToGrid w:val="0"/>
          <w:spacing w:val="-6"/>
          <w:kern w:val="0"/>
          <w:sz w:val="44"/>
          <w:szCs w:val="44"/>
          <w:lang w:eastAsia="zh-CN" w:bidi="ar"/>
        </w:rPr>
        <w:t>建设</w:t>
      </w:r>
      <w:r>
        <w:rPr>
          <w:rFonts w:hint="default" w:ascii="Times New Roman" w:hAnsi="Times New Roman" w:eastAsia="方正小标宋_GBK" w:cs="Times New Roman"/>
          <w:color w:val="auto"/>
          <w:spacing w:val="-6"/>
          <w:sz w:val="44"/>
          <w:szCs w:val="44"/>
          <w:highlight w:val="none"/>
          <w:lang w:eastAsia="zh-CN"/>
        </w:rPr>
        <w:t>内陆开放高地</w:t>
      </w:r>
      <w:r>
        <w:rPr>
          <w:rFonts w:hint="default" w:ascii="Times New Roman" w:hAnsi="Times New Roman" w:eastAsia="方正小标宋_GBK" w:cs="Times New Roman"/>
          <w:color w:val="auto"/>
          <w:spacing w:val="-6"/>
          <w:sz w:val="44"/>
          <w:szCs w:val="44"/>
          <w:highlight w:val="none"/>
        </w:rPr>
        <w:t>“十四五”规划</w:t>
      </w:r>
      <w:r>
        <w:rPr>
          <w:rFonts w:hint="default" w:ascii="Times New Roman" w:hAnsi="Times New Roman" w:eastAsia="方正小标宋_GBK" w:cs="Times New Roman"/>
          <w:snapToGrid w:val="0"/>
          <w:spacing w:val="-6"/>
          <w:kern w:val="0"/>
          <w:sz w:val="44"/>
          <w:szCs w:val="44"/>
          <w:lang w:eastAsia="zh-CN" w:bidi="ar"/>
        </w:rPr>
        <w:t>（</w:t>
      </w:r>
      <w:r>
        <w:rPr>
          <w:rFonts w:hint="default" w:ascii="Times New Roman" w:hAnsi="Times New Roman" w:eastAsia="方正小标宋_GBK" w:cs="Times New Roman"/>
          <w:snapToGrid w:val="0"/>
          <w:spacing w:val="-6"/>
          <w:kern w:val="0"/>
          <w:sz w:val="44"/>
          <w:szCs w:val="44"/>
          <w:lang w:val="en-US" w:eastAsia="zh-CN" w:bidi="ar"/>
        </w:rPr>
        <w:t>2021-2025年）</w:t>
      </w:r>
      <w:r>
        <w:rPr>
          <w:rFonts w:hint="default" w:ascii="Times New Roman" w:hAnsi="Times New Roman" w:eastAsia="方正小标宋_GBK" w:cs="Times New Roman"/>
          <w:color w:val="auto"/>
          <w:sz w:val="44"/>
          <w:szCs w:val="44"/>
          <w:highlight w:val="none"/>
          <w:lang w:eastAsia="zh-CN"/>
        </w:rPr>
        <w:t>（送审稿）</w:t>
      </w:r>
      <w:r>
        <w:rPr>
          <w:rFonts w:hint="default" w:ascii="Times New Roman" w:hAnsi="Times New Roman" w:eastAsia="方正小标宋_GBK" w:cs="Times New Roman"/>
          <w:color w:val="auto"/>
          <w:sz w:val="44"/>
          <w:szCs w:val="44"/>
          <w:highlight w:val="none"/>
          <w:lang w:val="en-US" w:eastAsia="zh-CN"/>
        </w:rPr>
        <w:t>》</w:t>
      </w:r>
      <w:r>
        <w:rPr>
          <w:rFonts w:hint="default" w:ascii="Times New Roman" w:hAnsi="Times New Roman" w:eastAsia="方正小标宋_GBK" w:cs="Times New Roman"/>
          <w:color w:val="auto"/>
          <w:sz w:val="44"/>
          <w:szCs w:val="44"/>
          <w:highlight w:val="none"/>
        </w:rPr>
        <w:t>的起草说明</w:t>
      </w:r>
    </w:p>
    <w:p>
      <w:pPr>
        <w:keepNext w:val="0"/>
        <w:keepLines w:val="0"/>
        <w:pageBreakBefore w:val="0"/>
        <w:widowControl w:val="0"/>
        <w:kinsoku/>
        <w:wordWrap/>
        <w:overflowPunct/>
        <w:topLinePunct w:val="0"/>
        <w:bidi w:val="0"/>
        <w:spacing w:line="240" w:lineRule="auto"/>
        <w:ind w:firstLine="600" w:firstLineChars="200"/>
        <w:jc w:val="both"/>
        <w:textAlignment w:val="auto"/>
        <w:rPr>
          <w:rFonts w:hint="default" w:ascii="Times New Roman" w:hAnsi="Times New Roman" w:eastAsia="方正仿宋_GBK" w:cs="Times New Roman"/>
          <w:sz w:val="30"/>
          <w:szCs w:val="30"/>
          <w:lang w:bidi="ar-SA"/>
        </w:rPr>
      </w:pPr>
    </w:p>
    <w:p>
      <w:pPr>
        <w:keepNext w:val="0"/>
        <w:keepLines w:val="0"/>
        <w:pageBreakBefore w:val="0"/>
        <w:widowControl w:val="0"/>
        <w:kinsoku/>
        <w:wordWrap/>
        <w:overflowPunct/>
        <w:topLinePunct w:val="0"/>
        <w:bidi w:val="0"/>
        <w:snapToGrid/>
        <w:spacing w:line="240" w:lineRule="auto"/>
        <w:ind w:left="0" w:leftChars="0" w:right="0" w:rightChars="0" w:firstLine="640" w:firstLineChars="200"/>
        <w:jc w:val="both"/>
        <w:textAlignment w:val="auto"/>
        <w:outlineLvl w:val="9"/>
        <w:rPr>
          <w:rFonts w:hint="default" w:ascii="Times New Roman" w:hAnsi="Times New Roman" w:eastAsia="方正黑体_GBK" w:cs="Times New Roman"/>
          <w:b w:val="0"/>
          <w:bCs w:val="0"/>
          <w:sz w:val="32"/>
          <w:szCs w:val="32"/>
          <w:lang w:bidi="ar-SA"/>
        </w:rPr>
      </w:pPr>
      <w:r>
        <w:rPr>
          <w:rFonts w:hint="default" w:ascii="Times New Roman" w:hAnsi="Times New Roman" w:eastAsia="方正黑体_GBK" w:cs="Times New Roman"/>
          <w:b w:val="0"/>
          <w:bCs w:val="0"/>
          <w:sz w:val="32"/>
          <w:szCs w:val="32"/>
          <w:lang w:bidi="ar-SA"/>
        </w:rPr>
        <w:t>一、文件制定背景和依据</w:t>
      </w:r>
    </w:p>
    <w:p>
      <w:pPr>
        <w:keepNext w:val="0"/>
        <w:keepLines w:val="0"/>
        <w:pageBreakBefore w:val="0"/>
        <w:widowControl w:val="0"/>
        <w:kinsoku/>
        <w:wordWrap/>
        <w:overflowPunct/>
        <w:topLinePunct w:val="0"/>
        <w:bidi w:val="0"/>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十四五”（2021-2025年）规划是开启全面建设社会主义新征程的第一个五年规划，是适应社会主义矛盾历史性变化新要求的第一个五年规划，是全面落实习近平总书记赋予重庆新定位、新使命的五年规划，科学编制和实施好“十四五”规划意义重大。按照市委市政府工作部署，《</w:t>
      </w:r>
      <w:r>
        <w:rPr>
          <w:rFonts w:hint="default" w:ascii="Times New Roman" w:hAnsi="Times New Roman" w:eastAsia="方正仿宋_GBK" w:cs="Times New Roman"/>
          <w:sz w:val="32"/>
          <w:szCs w:val="32"/>
          <w:lang w:eastAsia="zh-CN"/>
        </w:rPr>
        <w:t>重庆市全面融入共建“一带一路”加快建设内陆开放高地“十四五”规划（</w:t>
      </w:r>
      <w:r>
        <w:rPr>
          <w:rFonts w:hint="default" w:ascii="Times New Roman" w:hAnsi="Times New Roman" w:eastAsia="方正仿宋_GBK" w:cs="Times New Roman"/>
          <w:sz w:val="32"/>
          <w:szCs w:val="32"/>
          <w:lang w:val="en-US" w:eastAsia="zh-CN"/>
        </w:rPr>
        <w:t>2021-2025年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（以下简称《规划》）纳入了市级重点专项规划，由市商务委牵头编制</w:t>
      </w:r>
      <w:r>
        <w:rPr>
          <w:rFonts w:hint="default" w:ascii="Times New Roman" w:hAnsi="Times New Roman" w:eastAsia="方正仿宋_GBK" w:cs="Times New Roman"/>
          <w:b w:val="0"/>
          <w:bCs w:val="0"/>
          <w:sz w:val="32"/>
          <w:szCs w:val="32"/>
          <w:lang w:val="en-US" w:eastAsia="zh-CN"/>
        </w:rPr>
        <w:t>。《规划》编制的主要依据为《中共重庆市委 重庆市人民政府关于印发全面融入共建“一带一路”加快建设内陆开放高地行动计划的通知》（渝委发〔2019〕22号）、《中共重庆市委关于制定重庆市国民经济和社会发展第十四个五年规划和二〇三五年远景目标的建议》（渝委发〔2020〕25号）、《重庆市人民政府关于印发重庆市国民经济和社会发展第十四个五年规划和二〇三五年远景目标纲要的通知》（渝府发〔2021〕6号），发文时间分别为2019年10月22日、2020年12月1日、2021年2月10日。</w:t>
      </w:r>
    </w:p>
    <w:p>
      <w:pPr>
        <w:keepNext w:val="0"/>
        <w:keepLines w:val="0"/>
        <w:pageBreakBefore w:val="0"/>
        <w:widowControl w:val="0"/>
        <w:kinsoku/>
        <w:wordWrap/>
        <w:overflowPunct/>
        <w:topLinePunct w:val="0"/>
        <w:bidi w:val="0"/>
        <w:snapToGrid/>
        <w:spacing w:line="240" w:lineRule="auto"/>
        <w:ind w:left="0" w:leftChars="0" w:right="0" w:rightChars="0" w:firstLine="640" w:firstLineChars="200"/>
        <w:jc w:val="both"/>
        <w:textAlignment w:val="auto"/>
        <w:outlineLvl w:val="9"/>
        <w:rPr>
          <w:rFonts w:hint="default" w:ascii="Times New Roman" w:hAnsi="Times New Roman" w:eastAsia="方正黑体_GBK" w:cs="Times New Roman"/>
          <w:b w:val="0"/>
          <w:bCs w:val="0"/>
          <w:sz w:val="32"/>
          <w:szCs w:val="32"/>
          <w:lang w:bidi="ar-SA"/>
        </w:rPr>
      </w:pPr>
      <w:r>
        <w:rPr>
          <w:rFonts w:hint="default" w:ascii="Times New Roman" w:hAnsi="Times New Roman" w:eastAsia="方正黑体_GBK" w:cs="Times New Roman"/>
          <w:b w:val="0"/>
          <w:bCs w:val="0"/>
          <w:sz w:val="32"/>
          <w:szCs w:val="32"/>
          <w:lang w:bidi="ar-SA"/>
        </w:rPr>
        <w:t>二、文件制定过程</w:t>
      </w:r>
    </w:p>
    <w:p>
      <w:pPr>
        <w:keepNext w:val="0"/>
        <w:keepLines w:val="0"/>
        <w:pageBreakBefore w:val="0"/>
        <w:widowControl w:val="0"/>
        <w:kinsoku/>
        <w:wordWrap/>
        <w:overflowPunct/>
        <w:topLinePunct w:val="0"/>
        <w:bidi w:val="0"/>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自2020年8月起，我委正式启动《规划》研究编制工作。</w:t>
      </w:r>
      <w:r>
        <w:rPr>
          <w:rFonts w:hint="default" w:ascii="Times New Roman" w:hAnsi="Times New Roman" w:eastAsia="方正仿宋_GBK" w:cs="Times New Roman"/>
          <w:b w:val="0"/>
          <w:bCs w:val="0"/>
          <w:color w:val="000000"/>
          <w:sz w:val="32"/>
          <w:szCs w:val="32"/>
          <w:lang w:val="en-US" w:eastAsia="zh-CN"/>
        </w:rPr>
        <w:t>在课题组前期调研和反复讨论修改的基础上，明确规划基本思路，着手文本撰写，并于9月底形成初稿。</w:t>
      </w:r>
      <w:r>
        <w:rPr>
          <w:rFonts w:hint="default" w:ascii="Times New Roman" w:hAnsi="Times New Roman" w:eastAsia="方正仿宋_GBK" w:cs="Times New Roman"/>
          <w:b w:val="0"/>
          <w:bCs w:val="0"/>
          <w:sz w:val="32"/>
          <w:szCs w:val="32"/>
          <w:lang w:val="en-US" w:eastAsia="zh-CN"/>
        </w:rPr>
        <w:t>经分管副市长组织专题会议研究，委党组会及专题会议研究，与市级各部门多次沟通衔接，在课题组前期调研和反复讨论修改的基础上，形成《规划》征求意见稿。2月至3月，通过印发文件、电话问答、微信公众号、召开座谈会等形式，向市级有关部门、区县政府、相关企业以及社会公众征集修改意见共51条，32条在文本中予以采纳，未采纳的意见也与相关单位进行了沟通。按照市委、市政府对规划和规范性文件制定的有关规定，我委对规划组织了专家评审、公平竞争审查、合法性审查、完备性规范性审核、社会稳定风险评估，并一致通过，且规划相关内容在社会稳定、生态环境、公共安全等方面风险可控。经我委第51次主任办公会集体审议，通过《规划》（送审稿）。</w:t>
      </w:r>
    </w:p>
    <w:p>
      <w:pPr>
        <w:keepNext w:val="0"/>
        <w:keepLines w:val="0"/>
        <w:pageBreakBefore w:val="0"/>
        <w:widowControl w:val="0"/>
        <w:kinsoku/>
        <w:wordWrap/>
        <w:overflowPunct/>
        <w:topLinePunct w:val="0"/>
        <w:bidi w:val="0"/>
        <w:snapToGrid/>
        <w:spacing w:line="240" w:lineRule="auto"/>
        <w:ind w:left="0" w:leftChars="0" w:right="0" w:rightChars="0" w:firstLine="640" w:firstLineChars="200"/>
        <w:jc w:val="both"/>
        <w:textAlignment w:val="auto"/>
        <w:outlineLvl w:val="9"/>
        <w:rPr>
          <w:rFonts w:hint="default" w:ascii="Times New Roman" w:hAnsi="Times New Roman" w:eastAsia="方正黑体_GBK" w:cs="Times New Roman"/>
          <w:b w:val="0"/>
          <w:bCs w:val="0"/>
          <w:sz w:val="32"/>
          <w:szCs w:val="32"/>
          <w:lang w:bidi="ar-SA"/>
        </w:rPr>
      </w:pPr>
      <w:r>
        <w:rPr>
          <w:rFonts w:hint="default" w:ascii="Times New Roman" w:hAnsi="Times New Roman" w:eastAsia="方正黑体_GBK" w:cs="Times New Roman"/>
          <w:b w:val="0"/>
          <w:bCs w:val="0"/>
          <w:sz w:val="32"/>
          <w:szCs w:val="32"/>
          <w:lang w:bidi="ar-SA"/>
        </w:rPr>
        <w:t>三、文件主要内容</w:t>
      </w:r>
    </w:p>
    <w:p>
      <w:pPr>
        <w:keepNext w:val="0"/>
        <w:keepLines w:val="0"/>
        <w:pageBreakBefore w:val="0"/>
        <w:widowControl w:val="0"/>
        <w:kinsoku/>
        <w:wordWrap/>
        <w:overflowPunct/>
        <w:topLinePunct w:val="0"/>
        <w:bidi w:val="0"/>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color w:val="000000"/>
          <w:sz w:val="32"/>
          <w:szCs w:val="32"/>
          <w:lang w:val="en-US" w:eastAsia="zh-CN"/>
        </w:rPr>
        <w:t>《规划》（送审稿）编制中，我们</w:t>
      </w:r>
      <w:r>
        <w:rPr>
          <w:rFonts w:hint="default" w:ascii="Times New Roman" w:hAnsi="Times New Roman" w:eastAsia="方正仿宋_GBK" w:cs="Times New Roman"/>
          <w:b w:val="0"/>
          <w:bCs w:val="0"/>
          <w:sz w:val="32"/>
          <w:szCs w:val="32"/>
          <w:lang w:val="en-US" w:eastAsia="zh-CN"/>
        </w:rPr>
        <w:t>贯彻落实了习近平总书记关于重庆的重要指示要求，深入结合国内国际双循环、成渝地区双城经济圈等发展战略，充分衔接内陆开放高地建设行动计划，着眼于实施更大范围、更宽领域、更深层次对外开放，描绘未来五年全方位开放发展蓝图。《规划》（送审稿）分为八篇、三十章。第一篇，全面开创重庆对外开放新局面，主要从发展基础、面临环境、指导思想、发展目标等方面总结“十三五”期间内陆开放高地建设情况，分析形势，提出未来发展总体思路和目标。第二篇，拓展开放通道体系，从提升通道互联互通水平、增强国际要素集散功能两个方面提出主要任务。第三篇，完善开放平台体系，从统筹开放平台发展、提升战略平台开放能级、推动其他平台创新发展三个方面进行工作谋划。第四篇，构建开放型经济体系，围绕扩大产业开放、内陆通道经济、服务贸易、货物贸易、培育市场主体、联通国际国内两个市场等六个方面进行任务阐述。第五篇，推进高水平制度型开放，从制度“对接”与“创新”两个方面，谋划优化对外开放制度供给的主要举措。第六篇，提升城市国际化水平，从建设中西部国际交往中心、建设国际消费中心城市、提升国际化生活服务功能、优化涉外营商环境四个方面提出任务举措。第七篇，推动区域协同开放，围绕优化全市开放空间布局、深化成渝地区双城经济圈开放协作、强化国内国际开放合作三个方面提出发展任务。第八篇，规划实施的保障措施，围绕组织实施、项目保障、政策支持、人才保障、环境保护、风险防控六个方面提出具体举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黑体_GBK" w:cs="Times New Roman"/>
          <w:b w:val="0"/>
          <w:bCs w:val="0"/>
          <w:sz w:val="32"/>
          <w:szCs w:val="32"/>
          <w:lang w:bidi="ar-SA"/>
        </w:rPr>
      </w:pPr>
      <w:r>
        <w:rPr>
          <w:rFonts w:hint="default" w:ascii="Times New Roman" w:hAnsi="Times New Roman" w:eastAsia="方正黑体_GBK" w:cs="Times New Roman"/>
          <w:b w:val="0"/>
          <w:bCs w:val="0"/>
          <w:sz w:val="32"/>
          <w:szCs w:val="32"/>
          <w:lang w:bidi="ar-SA"/>
        </w:rPr>
        <w:t>四、其他需要说明的问题</w:t>
      </w:r>
    </w:p>
    <w:p>
      <w:pPr>
        <w:keepNext w:val="0"/>
        <w:keepLines w:val="0"/>
        <w:pageBreakBefore w:val="0"/>
        <w:widowControl w:val="0"/>
        <w:kinsoku/>
        <w:wordWrap/>
        <w:overflowPunct/>
        <w:topLinePunct w:val="0"/>
        <w:bidi w:val="0"/>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楷体_GBK" w:cs="Times New Roman"/>
          <w:b w:val="0"/>
          <w:bCs w:val="0"/>
          <w:color w:val="000000"/>
          <w:sz w:val="32"/>
          <w:szCs w:val="32"/>
          <w:lang w:val="en-US" w:eastAsia="zh-CN"/>
        </w:rPr>
        <w:t>（一）</w:t>
      </w:r>
      <w:r>
        <w:rPr>
          <w:rFonts w:hint="default" w:ascii="Times New Roman" w:hAnsi="Times New Roman" w:eastAsia="方正楷体_GBK" w:cs="Times New Roman"/>
          <w:b w:val="0"/>
          <w:bCs w:val="0"/>
          <w:color w:val="000000"/>
          <w:kern w:val="0"/>
          <w:sz w:val="32"/>
          <w:szCs w:val="32"/>
          <w:lang w:val="en-US" w:eastAsia="zh-CN" w:bidi="ar-SA"/>
        </w:rPr>
        <w:t>关于指标体系。</w:t>
      </w:r>
      <w:r>
        <w:rPr>
          <w:rFonts w:hint="default" w:ascii="Times New Roman" w:hAnsi="Times New Roman" w:eastAsia="方正仿宋_GBK" w:cs="Times New Roman"/>
          <w:b w:val="0"/>
          <w:bCs w:val="0"/>
          <w:color w:val="auto"/>
          <w:kern w:val="2"/>
          <w:sz w:val="32"/>
          <w:szCs w:val="32"/>
          <w:lang w:val="en-US" w:eastAsia="zh-CN" w:bidi="ar-SA"/>
        </w:rPr>
        <w:t>重点考虑选取指标的延续性、全面性、系统性、代表性，设置共4类15个指标。其中，将“一带一路”相关指标单列一类，突出积极融入共建“一带一路”。</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楷体_GBK" w:cs="Times New Roman"/>
          <w:b w:val="0"/>
          <w:bCs w:val="0"/>
          <w:color w:val="000000"/>
          <w:kern w:val="0"/>
          <w:sz w:val="32"/>
          <w:szCs w:val="32"/>
          <w:lang w:val="en-US" w:eastAsia="zh-CN" w:bidi="ar-SA"/>
        </w:rPr>
        <w:t>（二）关于融入新发展格局。</w:t>
      </w:r>
      <w:r>
        <w:rPr>
          <w:rFonts w:hint="default" w:ascii="Times New Roman" w:hAnsi="Times New Roman" w:eastAsia="方正仿宋_GBK" w:cs="Times New Roman"/>
          <w:b w:val="0"/>
          <w:bCs w:val="0"/>
          <w:color w:val="auto"/>
          <w:kern w:val="2"/>
          <w:sz w:val="32"/>
          <w:szCs w:val="32"/>
          <w:lang w:val="en-US" w:eastAsia="zh-CN" w:bidi="ar-SA"/>
        </w:rPr>
        <w:t>充分体现在篇章结构上。一方面，把握扩大内需战略基点，将国际消费中心城市建设作为专章，重点突出促进消费和国内市场发展。另一方面，统筹国内国际市场，将联通国内国际市场作为专章，重点突出“三外”联动、内外贸一体化等内容，以此推动形成以国内大循环为主体、国内国际双循环相互促进的新发展格局。</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楷体_GBK" w:cs="Times New Roman"/>
          <w:b w:val="0"/>
          <w:bCs w:val="0"/>
          <w:color w:val="000000"/>
          <w:kern w:val="0"/>
          <w:sz w:val="32"/>
          <w:szCs w:val="32"/>
          <w:lang w:val="en-US" w:eastAsia="zh-CN" w:bidi="ar-SA"/>
        </w:rPr>
        <w:t>（三）关于制度型开放。</w:t>
      </w:r>
      <w:r>
        <w:rPr>
          <w:rFonts w:hint="default" w:ascii="Times New Roman" w:hAnsi="Times New Roman" w:eastAsia="方正仿宋_GBK" w:cs="Times New Roman"/>
          <w:b w:val="0"/>
          <w:bCs w:val="0"/>
          <w:color w:val="auto"/>
          <w:kern w:val="2"/>
          <w:sz w:val="32"/>
          <w:szCs w:val="32"/>
          <w:lang w:val="en-US" w:eastAsia="zh-CN" w:bidi="ar-SA"/>
        </w:rPr>
        <w:t>顺应我国新一轮对外开放正在由商品和要素流动型开放向规则等制度型开放转变的新趋势，单列篇章对推进制度型开放进行谋划，既包含了对标国际高标准经贸规则倒逼推动重点领域“边境后措施”深化改革的举措，也安排了围绕重庆自身特点和优势创新引领国际经贸新规则的任务，切实把党中央“实行高水平对外开放，推动改革和开放相互促进”的要求落到实处。</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楷体_GBK" w:cs="Times New Roman"/>
          <w:b w:val="0"/>
          <w:bCs w:val="0"/>
          <w:color w:val="000000"/>
          <w:kern w:val="0"/>
          <w:sz w:val="32"/>
          <w:szCs w:val="32"/>
          <w:lang w:val="en-US" w:eastAsia="zh-CN" w:bidi="ar-SA"/>
        </w:rPr>
        <w:t>（四）关于服务业扩大开放。</w:t>
      </w:r>
      <w:r>
        <w:rPr>
          <w:rFonts w:hint="default" w:ascii="Times New Roman" w:hAnsi="Times New Roman" w:eastAsia="方正仿宋_GBK" w:cs="Times New Roman"/>
          <w:b w:val="0"/>
          <w:bCs w:val="0"/>
          <w:color w:val="auto"/>
          <w:kern w:val="2"/>
          <w:sz w:val="32"/>
          <w:szCs w:val="32"/>
          <w:lang w:val="en-US" w:eastAsia="zh-CN" w:bidi="ar-SA"/>
        </w:rPr>
        <w:t>针对当前对外开放重点向服务业转变的特点，在开放产业部分专门对扩大服务业开放进行安排部署，推动深入实施服务业扩大开放综合试点。同时，列专章部署服务贸易发展任务，突显其重要性。</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kern w:val="2"/>
          <w:sz w:val="32"/>
          <w:szCs w:val="32"/>
          <w:lang w:val="en-US" w:eastAsia="zh-CN" w:bidi="ar-SA"/>
        </w:rPr>
      </w:pPr>
      <w:r>
        <w:rPr>
          <w:rFonts w:hint="default" w:ascii="Times New Roman" w:hAnsi="Times New Roman" w:eastAsia="方正楷体_GBK" w:cs="Times New Roman"/>
          <w:b w:val="0"/>
          <w:bCs w:val="0"/>
          <w:color w:val="000000"/>
          <w:kern w:val="0"/>
          <w:sz w:val="32"/>
          <w:szCs w:val="32"/>
          <w:lang w:val="en-US" w:eastAsia="zh-CN" w:bidi="ar-SA"/>
        </w:rPr>
        <w:t>（五）关于项目保障。</w:t>
      </w:r>
      <w:r>
        <w:rPr>
          <w:rFonts w:hint="default" w:ascii="Times New Roman" w:hAnsi="Times New Roman" w:eastAsia="方正仿宋_GBK" w:cs="Times New Roman"/>
          <w:b w:val="0"/>
          <w:bCs w:val="0"/>
          <w:color w:val="auto"/>
          <w:kern w:val="2"/>
          <w:sz w:val="32"/>
          <w:szCs w:val="32"/>
          <w:lang w:val="en-US" w:eastAsia="zh-CN" w:bidi="ar-SA"/>
        </w:rPr>
        <w:t>将内陆开放高地建设落脚在项目上，汇总梳理了全市重大项目，在各专栏中予以体现，夯实建设基础。</w:t>
      </w:r>
    </w:p>
    <w:p>
      <w:pPr>
        <w:pStyle w:val="2"/>
        <w:keepNext w:val="0"/>
        <w:keepLines w:val="0"/>
        <w:pageBreakBefore w:val="0"/>
        <w:widowControl w:val="0"/>
        <w:kinsoku/>
        <w:wordWrap/>
        <w:overflowPunct/>
        <w:topLinePunct w:val="0"/>
        <w:autoSpaceDE w:val="0"/>
        <w:autoSpaceDN w:val="0"/>
        <w:bidi w:val="0"/>
        <w:snapToGrid/>
        <w:spacing w:line="240" w:lineRule="auto"/>
        <w:ind w:left="0" w:leftChars="0" w:right="0" w:rightChars="0"/>
        <w:jc w:val="both"/>
        <w:textAlignment w:val="auto"/>
        <w:outlineLvl w:val="9"/>
        <w:rPr>
          <w:rFonts w:hint="default" w:ascii="Times New Roman" w:hAnsi="Times New Roman" w:eastAsia="方正黑体_GBK" w:cs="Times New Roman"/>
          <w:b w:val="0"/>
          <w:bCs w:val="0"/>
          <w:sz w:val="32"/>
          <w:szCs w:val="32"/>
          <w:lang w:val="en-US" w:eastAsia="zh-CN" w:bidi="ar-SA"/>
        </w:rPr>
      </w:pPr>
    </w:p>
    <w:p>
      <w:pPr>
        <w:pStyle w:val="2"/>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480" w:firstLineChars="200"/>
        <w:textAlignment w:val="auto"/>
        <w:outlineLvl w:val="9"/>
        <w:rPr>
          <w:rFonts w:hint="default" w:ascii="Times New Roman" w:hAnsi="Times New Roman" w:cs="Times New Roman"/>
          <w:b w:val="0"/>
          <w:bCs w:val="0"/>
        </w:rPr>
      </w:pPr>
    </w:p>
    <w:sectPr>
      <w:footerReference r:id="rId3" w:type="default"/>
      <w:pgSz w:w="11906" w:h="16838"/>
      <w:pgMar w:top="2098" w:right="1531" w:bottom="1984" w:left="1531" w:header="851" w:footer="1474" w:gutter="0"/>
      <w:cols w:equalWidth="0" w:num="1">
        <w:col w:w="8306"/>
      </w:cols>
      <w:rtlGutter w:val="0"/>
      <w:docGrid w:type="linesAndChars" w:linePitch="579"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Luxi Sans">
    <w:altName w:val="Arial"/>
    <w:panose1 w:val="00000000000000000000"/>
    <w:charset w:val="00"/>
    <w:family w:val="auto"/>
    <w:pitch w:val="default"/>
    <w:sig w:usb0="00000000" w:usb1="00000000" w:usb2="00000000" w:usb3="00000000" w:csb0="0000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drawingGridHorizontalSpacing w:val="105"/>
  <w:drawingGridVerticalSpacing w:val="290"/>
  <w:displayHorizontalDrawingGridEvery w:val="2"/>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rsids>
    <w:rsidRoot w:val="00000000"/>
    <w:rsid w:val="1C1E4996"/>
    <w:rsid w:val="2F6B01E9"/>
    <w:rsid w:val="3C2E2F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rPr>
  </w:style>
  <w:style w:type="paragraph" w:styleId="4">
    <w:name w:val="heading 2"/>
    <w:basedOn w:val="1"/>
    <w:next w:val="1"/>
    <w:qFormat/>
    <w:uiPriority w:val="0"/>
    <w:pPr>
      <w:keepNext/>
      <w:keepLines/>
      <w:spacing w:before="260" w:after="260" w:line="415" w:lineRule="auto"/>
      <w:outlineLvl w:val="1"/>
    </w:pPr>
    <w:rPr>
      <w:rFonts w:ascii="Luxi Sans" w:hAnsi="Luxi Sans" w:eastAsia="黑体"/>
      <w:b/>
      <w:sz w:val="32"/>
    </w:rPr>
  </w:style>
  <w:style w:type="paragraph" w:styleId="5">
    <w:name w:val="heading 3"/>
    <w:basedOn w:val="1"/>
    <w:next w:val="1"/>
    <w:qFormat/>
    <w:uiPriority w:val="0"/>
    <w:pPr>
      <w:keepNext/>
      <w:keepLines/>
      <w:spacing w:before="260" w:after="260" w:line="415" w:lineRule="auto"/>
      <w:outlineLvl w:val="2"/>
    </w:pPr>
    <w:rPr>
      <w:b/>
      <w:sz w:val="32"/>
    </w:rPr>
  </w:style>
  <w:style w:type="character" w:default="1" w:styleId="13">
    <w:name w:val="Default Paragraph Font"/>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6">
    <w:name w:val="toc 5"/>
    <w:basedOn w:val="1"/>
    <w:next w:val="1"/>
    <w:qFormat/>
    <w:uiPriority w:val="0"/>
    <w:pPr>
      <w:ind w:left="1680"/>
    </w:pPr>
  </w:style>
  <w:style w:type="paragraph" w:styleId="7">
    <w:name w:val="toc 3"/>
    <w:basedOn w:val="1"/>
    <w:next w:val="1"/>
    <w:qFormat/>
    <w:uiPriority w:val="0"/>
    <w:pPr>
      <w:ind w:left="840"/>
    </w:pPr>
  </w:style>
  <w:style w:type="paragraph" w:styleId="8">
    <w:name w:val="footer"/>
    <w:basedOn w:val="1"/>
    <w:qFormat/>
    <w:uiPriority w:val="0"/>
    <w:pPr>
      <w:tabs>
        <w:tab w:val="center" w:pos="4153"/>
        <w:tab w:val="right" w:pos="8307"/>
      </w:tabs>
      <w:snapToGrid w:val="0"/>
      <w:jc w:val="left"/>
    </w:pPr>
    <w:rPr>
      <w:sz w:val="18"/>
    </w:rPr>
  </w:style>
  <w:style w:type="paragraph" w:styleId="9">
    <w:name w:val="header"/>
    <w:basedOn w:val="1"/>
    <w:qFormat/>
    <w:uiPriority w:val="0"/>
    <w:pPr>
      <w:pBdr>
        <w:bottom w:val="single" w:color="auto" w:sz="6" w:space="1"/>
      </w:pBdr>
      <w:tabs>
        <w:tab w:val="center" w:pos="4153"/>
        <w:tab w:val="right" w:pos="8307"/>
      </w:tabs>
      <w:snapToGrid w:val="0"/>
      <w:jc w:val="center"/>
    </w:pPr>
    <w:rPr>
      <w:sz w:val="18"/>
    </w:rPr>
  </w:style>
  <w:style w:type="paragraph" w:styleId="10">
    <w:name w:val="toc 1"/>
    <w:basedOn w:val="1"/>
    <w:next w:val="1"/>
    <w:qFormat/>
    <w:uiPriority w:val="0"/>
  </w:style>
  <w:style w:type="paragraph" w:styleId="11">
    <w:name w:val="toc 4"/>
    <w:basedOn w:val="1"/>
    <w:next w:val="1"/>
    <w:qFormat/>
    <w:uiPriority w:val="0"/>
    <w:pPr>
      <w:ind w:left="1260"/>
    </w:pPr>
  </w:style>
  <w:style w:type="paragraph" w:styleId="12">
    <w:name w:val="toc 2"/>
    <w:basedOn w:val="1"/>
    <w:next w:val="1"/>
    <w:qFormat/>
    <w:uiPriority w:val="0"/>
    <w:pPr>
      <w:ind w:left="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4</Pages>
  <Words>2099</Words>
  <Characters>2148</Characters>
  <Lines>90</Lines>
  <Paragraphs>14</Paragraphs>
  <TotalTime>0</TotalTime>
  <ScaleCrop>false</ScaleCrop>
  <LinksUpToDate>false</LinksUpToDate>
  <CharactersWithSpaces>2149</CharactersWithSpaces>
  <Application>WPS Office_10.8.0.6370_F1E327BC-269C-435d-A152-05C5408002CA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2021-03-26T01:39:00Z</dcterms:created>
  <dc:creator>Administrator</dc:creator>
  <cp:lastModifiedBy>谢莹婷[谢莹婷]</cp:lastModifiedBy>
  <cp:lastPrinted>2021-04-20T02:48:00Z</cp:lastPrinted>
  <dcterms:modified xsi:type="dcterms:W3CDTF">2021-06-04T06:53:42Z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0B826F857B3B43ACA819C57F0A5BDF8B</vt:lpwstr>
  </property>
</Properties>
</file>