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4541">
      <w:pPr>
        <w:rPr>
          <w:rFonts w:ascii="Times New Roman" w:hAnsi="Times New Roman" w:eastAsia="方正黑体_GBK"/>
          <w:sz w:val="10"/>
          <w:szCs w:val="10"/>
        </w:rPr>
      </w:pPr>
      <w:r>
        <w:rPr>
          <w:rFonts w:ascii="Times New Roman" w:hAnsi="Times New Roman" w:eastAsia="方正黑体_GBK"/>
          <w:sz w:val="32"/>
          <w:szCs w:val="32"/>
        </w:rPr>
        <w:t>附件</w:t>
      </w:r>
      <w:r>
        <w:rPr>
          <w:rFonts w:hint="eastAsia" w:ascii="Times New Roman" w:hAnsi="Times New Roman" w:eastAsia="方正黑体_GBK"/>
          <w:sz w:val="32"/>
          <w:szCs w:val="32"/>
        </w:rPr>
        <w:t>2</w:t>
      </w:r>
    </w:p>
    <w:p w14:paraId="38F6E9EF">
      <w:pPr>
        <w:spacing w:line="60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重庆市2024年</w:t>
      </w:r>
      <w:r>
        <w:rPr>
          <w:rFonts w:hint="eastAsia" w:ascii="Times New Roman" w:hAnsi="Times New Roman" w:eastAsia="方正小标宋简体"/>
          <w:sz w:val="44"/>
          <w:szCs w:val="44"/>
        </w:rPr>
        <w:t>家居以旧</w:t>
      </w:r>
      <w:r>
        <w:rPr>
          <w:rFonts w:hint="eastAsia" w:ascii="Times New Roman" w:hAnsi="Times New Roman" w:eastAsia="方正小标宋简体"/>
          <w:sz w:val="44"/>
          <w:szCs w:val="44"/>
          <w:lang w:eastAsia="zh-CN"/>
        </w:rPr>
        <w:t>换新补贴政策</w:t>
      </w:r>
    </w:p>
    <w:p w14:paraId="2BEEA450">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参与单位</w:t>
      </w:r>
      <w:r>
        <w:rPr>
          <w:rFonts w:ascii="Times New Roman" w:hAnsi="Times New Roman" w:eastAsia="方正小标宋简体"/>
          <w:sz w:val="44"/>
          <w:szCs w:val="44"/>
        </w:rPr>
        <w:t>承诺书</w:t>
      </w:r>
    </w:p>
    <w:p w14:paraId="46062669">
      <w:pPr>
        <w:pStyle w:val="6"/>
        <w:snapToGrid w:val="0"/>
        <w:spacing w:line="600" w:lineRule="exact"/>
        <w:ind w:firstLine="0" w:firstLineChars="0"/>
        <w:rPr>
          <w:rFonts w:ascii="Times New Roman" w:hAnsi="Times New Roman" w:eastAsia="方正仿宋_GBK"/>
        </w:rPr>
      </w:pPr>
    </w:p>
    <w:p w14:paraId="2275D3A9">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参与单位（</w:t>
      </w:r>
      <w:r>
        <w:rPr>
          <w:rFonts w:ascii="Times New Roman" w:hAnsi="Times New Roman" w:eastAsia="方正仿宋_GBK"/>
          <w:sz w:val="32"/>
          <w:szCs w:val="32"/>
        </w:rPr>
        <w:t xml:space="preserve">        ）自愿申请参与实施重庆市2024年</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（简称</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hint="eastAsia" w:ascii="Times New Roman" w:hAnsi="Times New Roman" w:eastAsia="方正仿宋_GBK"/>
          <w:sz w:val="32"/>
          <w:szCs w:val="32"/>
        </w:rPr>
        <w:t>”</w:t>
      </w:r>
      <w:r>
        <w:rPr>
          <w:rFonts w:ascii="Times New Roman" w:hAnsi="Times New Roman" w:eastAsia="方正仿宋_GBK"/>
          <w:sz w:val="32"/>
          <w:szCs w:val="32"/>
        </w:rPr>
        <w:t>），并郑重承诺如下：</w:t>
      </w:r>
    </w:p>
    <w:p w14:paraId="7193E805">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承诺严格遵守各项促进</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要求，积极组织参与实施</w:t>
      </w:r>
      <w:r>
        <w:rPr>
          <w:rFonts w:hint="eastAsia" w:ascii="Times New Roman" w:hAnsi="Times New Roman" w:eastAsia="方正仿宋_GBK"/>
          <w:sz w:val="32"/>
          <w:szCs w:val="32"/>
        </w:rPr>
        <w:t>家居以旧换新补贴</w:t>
      </w:r>
      <w:r>
        <w:rPr>
          <w:rFonts w:ascii="Times New Roman" w:hAnsi="Times New Roman" w:eastAsia="方正仿宋_GBK"/>
          <w:sz w:val="32"/>
          <w:szCs w:val="32"/>
        </w:rPr>
        <w:t>政策，配合公开展示参与政策的具体门店信息。</w:t>
      </w:r>
    </w:p>
    <w:p w14:paraId="23EF040A">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sz w:val="32"/>
          <w:szCs w:val="32"/>
        </w:rPr>
        <w:t>承诺提供的申请信息真实、完整、准确，如本公司提供了错误或虚假的信息，本单位将承担全部责任（包括但不限于本单位无法获得垫付</w:t>
      </w:r>
      <w:r>
        <w:rPr>
          <w:rFonts w:hint="eastAsia" w:ascii="Times New Roman" w:hAnsi="Times New Roman" w:eastAsia="方正仿宋_GBK"/>
          <w:sz w:val="32"/>
          <w:szCs w:val="32"/>
        </w:rPr>
        <w:t>的</w:t>
      </w:r>
      <w:r>
        <w:rPr>
          <w:rFonts w:ascii="Times New Roman" w:hAnsi="Times New Roman" w:eastAsia="方正仿宋_GBK"/>
          <w:sz w:val="32"/>
          <w:szCs w:val="32"/>
        </w:rPr>
        <w:t>补贴资金所招致的损失等各类情形），并且如因本单位的前述行为给政策实施部门和服务平台造成了任何损失，本单位</w:t>
      </w:r>
      <w:r>
        <w:rPr>
          <w:rFonts w:hint="eastAsia" w:ascii="Times New Roman" w:hAnsi="Times New Roman" w:eastAsia="方正仿宋_GBK"/>
          <w:sz w:val="32"/>
          <w:szCs w:val="32"/>
        </w:rPr>
        <w:t>自</w:t>
      </w:r>
      <w:r>
        <w:rPr>
          <w:rFonts w:ascii="Times New Roman" w:hAnsi="Times New Roman" w:eastAsia="方正仿宋_GBK"/>
          <w:sz w:val="32"/>
          <w:szCs w:val="32"/>
        </w:rPr>
        <w:t>愿承担赔偿责任。</w:t>
      </w:r>
    </w:p>
    <w:p w14:paraId="2EA72034">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承诺配套出台相关促销活动方案，协同开展</w:t>
      </w:r>
      <w:r>
        <w:rPr>
          <w:rFonts w:hint="eastAsia" w:ascii="Times New Roman" w:hAnsi="Times New Roman" w:eastAsia="方正仿宋_GBK"/>
          <w:sz w:val="32"/>
          <w:szCs w:val="32"/>
        </w:rPr>
        <w:t>家居</w:t>
      </w:r>
      <w:r>
        <w:rPr>
          <w:rFonts w:ascii="Times New Roman" w:hAnsi="Times New Roman" w:eastAsia="方正仿宋_GBK"/>
          <w:sz w:val="32"/>
          <w:szCs w:val="32"/>
        </w:rPr>
        <w:t>产品促销。承诺建立具有销售、监测、配货、退货等功能的促销</w:t>
      </w:r>
      <w:r>
        <w:rPr>
          <w:rFonts w:hint="eastAsia" w:ascii="Times New Roman" w:hAnsi="Times New Roman" w:eastAsia="方正仿宋_GBK"/>
          <w:sz w:val="32"/>
          <w:szCs w:val="32"/>
        </w:rPr>
        <w:t>体系或台账</w:t>
      </w:r>
      <w:r>
        <w:rPr>
          <w:rFonts w:ascii="Times New Roman" w:hAnsi="Times New Roman" w:eastAsia="方正仿宋_GBK"/>
          <w:sz w:val="32"/>
          <w:szCs w:val="32"/>
        </w:rPr>
        <w:t>，便利第三方</w:t>
      </w:r>
      <w:r>
        <w:rPr>
          <w:rFonts w:hint="eastAsia" w:ascii="Times New Roman" w:hAnsi="Times New Roman" w:eastAsia="方正仿宋_GBK"/>
          <w:sz w:val="32"/>
          <w:szCs w:val="32"/>
        </w:rPr>
        <w:t>单位</w:t>
      </w:r>
      <w:r>
        <w:rPr>
          <w:rFonts w:ascii="Times New Roman" w:hAnsi="Times New Roman" w:eastAsia="方正仿宋_GBK"/>
          <w:sz w:val="32"/>
          <w:szCs w:val="32"/>
        </w:rPr>
        <w:t>审计监督，帮助消费者通过服务平台应用程序实现交易和消费。</w:t>
      </w:r>
    </w:p>
    <w:p w14:paraId="29EAA9ED">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承诺本单位参与活动门店支持受理服务平台支付，于公示后7日内与服务平台完成对接。承诺按照政策实施部门和服务平台要求在政策实施前系统性对门店店员进行培训，确保店员能够正确回答消费者有关</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咨询。</w:t>
      </w:r>
    </w:p>
    <w:p w14:paraId="71BD37F6">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w:t>
      </w:r>
      <w:r>
        <w:rPr>
          <w:rFonts w:ascii="Times New Roman" w:hAnsi="Times New Roman" w:eastAsia="方正仿宋_GBK"/>
          <w:sz w:val="32"/>
          <w:szCs w:val="32"/>
        </w:rPr>
        <w:t>承诺若发生退货情形，退</w:t>
      </w:r>
      <w:r>
        <w:rPr>
          <w:rFonts w:hint="eastAsia" w:ascii="Times New Roman" w:hAnsi="Times New Roman" w:eastAsia="方正仿宋_GBK"/>
          <w:sz w:val="32"/>
          <w:szCs w:val="32"/>
        </w:rPr>
        <w:t>还</w:t>
      </w:r>
      <w:r>
        <w:rPr>
          <w:rFonts w:ascii="Times New Roman" w:hAnsi="Times New Roman" w:eastAsia="方正仿宋_GBK"/>
          <w:sz w:val="32"/>
          <w:szCs w:val="32"/>
        </w:rPr>
        <w:t>消费者的款项不包含补贴资金，且保证通过原支付渠道退还，若退货发生在财政补贴资金清算后，需及时将与退货相关联的财政补贴资金退还国库。</w:t>
      </w:r>
    </w:p>
    <w:p w14:paraId="2C160340">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w:t>
      </w:r>
      <w:r>
        <w:rPr>
          <w:rFonts w:ascii="Times New Roman" w:hAnsi="Times New Roman" w:eastAsia="方正仿宋_GBK"/>
          <w:sz w:val="32"/>
          <w:szCs w:val="32"/>
        </w:rPr>
        <w:t>承诺做好享受</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消费者的服务和受理工作，不增设任何参加</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hint="eastAsia" w:ascii="Times New Roman" w:hAnsi="Times New Roman" w:eastAsia="方正仿宋_GBK"/>
          <w:sz w:val="32"/>
          <w:szCs w:val="32"/>
        </w:rPr>
        <w:t>的</w:t>
      </w:r>
      <w:r>
        <w:rPr>
          <w:rFonts w:ascii="Times New Roman" w:hAnsi="Times New Roman" w:eastAsia="方正仿宋_GBK"/>
          <w:sz w:val="32"/>
          <w:szCs w:val="32"/>
        </w:rPr>
        <w:t>附加条件，不降低服务水平和质量，不得以参与</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为由拒绝消费者合法诉求。</w:t>
      </w:r>
    </w:p>
    <w:p w14:paraId="177F0EC0">
      <w:pPr>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承诺全力配合政策组织单位及服务平台落实相关套利防控措施，严格审核消费者参与资格，预防并制止</w:t>
      </w:r>
      <w:r>
        <w:rPr>
          <w:rFonts w:hint="eastAsia" w:ascii="Times New Roman" w:hAnsi="Times New Roman" w:eastAsia="方正仿宋_GBK"/>
          <w:sz w:val="32"/>
          <w:szCs w:val="32"/>
        </w:rPr>
        <w:t>“</w:t>
      </w:r>
      <w:r>
        <w:rPr>
          <w:rFonts w:ascii="Times New Roman" w:hAnsi="Times New Roman" w:eastAsia="方正仿宋_GBK"/>
          <w:sz w:val="32"/>
          <w:szCs w:val="32"/>
        </w:rPr>
        <w:t>黄牛</w:t>
      </w:r>
      <w:r>
        <w:rPr>
          <w:rFonts w:hint="eastAsia" w:ascii="Times New Roman" w:hAnsi="Times New Roman" w:eastAsia="方正仿宋_GBK"/>
          <w:sz w:val="32"/>
          <w:szCs w:val="32"/>
        </w:rPr>
        <w:t>”</w:t>
      </w:r>
      <w:r>
        <w:rPr>
          <w:rFonts w:ascii="Times New Roman" w:hAnsi="Times New Roman" w:eastAsia="方正仿宋_GBK"/>
          <w:sz w:val="32"/>
          <w:szCs w:val="32"/>
        </w:rPr>
        <w:t>等恶意套利行为，对于疑似</w:t>
      </w:r>
      <w:r>
        <w:rPr>
          <w:rFonts w:hint="eastAsia" w:ascii="Times New Roman" w:hAnsi="Times New Roman" w:eastAsia="方正仿宋_GBK"/>
          <w:sz w:val="32"/>
          <w:szCs w:val="32"/>
        </w:rPr>
        <w:t>“</w:t>
      </w:r>
      <w:r>
        <w:rPr>
          <w:rFonts w:ascii="Times New Roman" w:hAnsi="Times New Roman" w:eastAsia="方正仿宋_GBK"/>
          <w:sz w:val="32"/>
          <w:szCs w:val="32"/>
        </w:rPr>
        <w:t>黄牛</w:t>
      </w:r>
      <w:r>
        <w:rPr>
          <w:rFonts w:hint="eastAsia" w:ascii="Times New Roman" w:hAnsi="Times New Roman" w:eastAsia="方正仿宋_GBK"/>
          <w:sz w:val="32"/>
          <w:szCs w:val="32"/>
        </w:rPr>
        <w:t>”</w:t>
      </w:r>
      <w:r>
        <w:rPr>
          <w:rFonts w:ascii="Times New Roman" w:hAnsi="Times New Roman" w:eastAsia="方正仿宋_GBK"/>
          <w:sz w:val="32"/>
          <w:szCs w:val="32"/>
        </w:rPr>
        <w:t>等企图套利人员采取警告、劝退、报警等有效防控措施。若本单位未落实相关要求，将承担由此导致的资金损失。</w:t>
      </w:r>
    </w:p>
    <w:p w14:paraId="70B0ABEE">
      <w:pPr>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8．</w:t>
      </w:r>
      <w:r>
        <w:rPr>
          <w:rFonts w:ascii="Times New Roman" w:hAnsi="Times New Roman" w:eastAsia="方正仿宋_GBK"/>
          <w:sz w:val="32"/>
          <w:szCs w:val="32"/>
        </w:rPr>
        <w:t>承诺不自行参与或要求、唆使、放任、授权本单位员工、门店工作人员或任何其他第三方使用包括但不限于虚构交易、刷单、拆单等不正当方式套取</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优惠。若本单位员工或参与政策的门店涉嫌自行或者勾结外部人员从事前项套利行为的，</w:t>
      </w:r>
      <w:r>
        <w:rPr>
          <w:rFonts w:hint="eastAsia" w:ascii="Times New Roman" w:hAnsi="Times New Roman" w:eastAsia="方正仿宋_GBK"/>
          <w:sz w:val="32"/>
          <w:szCs w:val="32"/>
        </w:rPr>
        <w:t>则</w:t>
      </w:r>
      <w:r>
        <w:rPr>
          <w:rFonts w:ascii="Times New Roman" w:hAnsi="Times New Roman" w:eastAsia="方正仿宋_GBK"/>
          <w:sz w:val="32"/>
          <w:szCs w:val="32"/>
        </w:rPr>
        <w:t>本单位</w:t>
      </w:r>
      <w:r>
        <w:rPr>
          <w:rFonts w:hint="eastAsia" w:ascii="Times New Roman" w:hAnsi="Times New Roman" w:eastAsia="方正仿宋_GBK"/>
          <w:sz w:val="32"/>
          <w:szCs w:val="32"/>
        </w:rPr>
        <w:t>将</w:t>
      </w:r>
      <w:r>
        <w:rPr>
          <w:rFonts w:ascii="Times New Roman" w:hAnsi="Times New Roman" w:eastAsia="方正仿宋_GBK"/>
          <w:sz w:val="32"/>
          <w:szCs w:val="32"/>
        </w:rPr>
        <w:t>及时制止并采取充分补救及费用追偿措施，追偿范围包括</w:t>
      </w:r>
      <w:r>
        <w:rPr>
          <w:rFonts w:hint="eastAsia" w:ascii="Times New Roman" w:hAnsi="Times New Roman" w:eastAsia="方正仿宋_GBK"/>
          <w:sz w:val="32"/>
          <w:szCs w:val="32"/>
        </w:rPr>
        <w:t>涉补</w:t>
      </w:r>
      <w:r>
        <w:rPr>
          <w:rFonts w:ascii="Times New Roman" w:hAnsi="Times New Roman" w:eastAsia="方正仿宋_GBK"/>
          <w:sz w:val="32"/>
          <w:szCs w:val="32"/>
        </w:rPr>
        <w:t>资金以及政策实施部门和服务平台其他损失</w:t>
      </w:r>
      <w:r>
        <w:rPr>
          <w:rFonts w:hint="eastAsia" w:ascii="Times New Roman" w:hAnsi="Times New Roman" w:eastAsia="方正仿宋_GBK"/>
          <w:sz w:val="32"/>
          <w:szCs w:val="32"/>
        </w:rPr>
        <w:t>（</w:t>
      </w:r>
      <w:r>
        <w:rPr>
          <w:rFonts w:ascii="Times New Roman" w:hAnsi="Times New Roman" w:eastAsia="方正仿宋_GBK"/>
          <w:sz w:val="32"/>
          <w:szCs w:val="32"/>
        </w:rPr>
        <w:t>如</w:t>
      </w:r>
      <w:r>
        <w:rPr>
          <w:rFonts w:hint="eastAsia" w:ascii="Times New Roman" w:hAnsi="Times New Roman" w:eastAsia="方正仿宋_GBK"/>
          <w:sz w:val="32"/>
          <w:szCs w:val="32"/>
        </w:rPr>
        <w:t>：</w:t>
      </w:r>
      <w:r>
        <w:rPr>
          <w:rFonts w:ascii="Times New Roman" w:hAnsi="Times New Roman" w:eastAsia="方正仿宋_GBK"/>
          <w:sz w:val="32"/>
          <w:szCs w:val="32"/>
        </w:rPr>
        <w:t>律师费、调查费以及取证费用等</w:t>
      </w:r>
      <w:r>
        <w:rPr>
          <w:rFonts w:hint="eastAsia" w:ascii="Times New Roman" w:hAnsi="Times New Roman" w:eastAsia="方正仿宋_GBK"/>
          <w:sz w:val="32"/>
          <w:szCs w:val="32"/>
        </w:rPr>
        <w:t>）</w:t>
      </w:r>
      <w:r>
        <w:rPr>
          <w:rFonts w:ascii="Times New Roman" w:hAnsi="Times New Roman" w:eastAsia="方正仿宋_GBK"/>
          <w:sz w:val="32"/>
          <w:szCs w:val="32"/>
        </w:rPr>
        <w:t xml:space="preserve"> ，并</w:t>
      </w:r>
      <w:r>
        <w:rPr>
          <w:rFonts w:hint="eastAsia" w:ascii="Times New Roman" w:hAnsi="Times New Roman" w:eastAsia="方正仿宋_GBK"/>
          <w:sz w:val="32"/>
          <w:szCs w:val="32"/>
        </w:rPr>
        <w:t>将</w:t>
      </w:r>
      <w:r>
        <w:rPr>
          <w:rFonts w:ascii="Times New Roman" w:hAnsi="Times New Roman" w:eastAsia="方正仿宋_GBK"/>
          <w:sz w:val="32"/>
          <w:szCs w:val="32"/>
        </w:rPr>
        <w:t>相关情况及时告知政策</w:t>
      </w:r>
      <w:r>
        <w:rPr>
          <w:rFonts w:hint="eastAsia" w:ascii="Times New Roman" w:hAnsi="Times New Roman" w:eastAsia="方正仿宋_GBK"/>
          <w:sz w:val="32"/>
          <w:szCs w:val="32"/>
        </w:rPr>
        <w:t>执行单位</w:t>
      </w:r>
      <w:r>
        <w:rPr>
          <w:rFonts w:ascii="Times New Roman" w:hAnsi="Times New Roman" w:eastAsia="方正仿宋_GBK"/>
          <w:sz w:val="32"/>
          <w:szCs w:val="32"/>
        </w:rPr>
        <w:t>及服务平台。若</w:t>
      </w:r>
      <w:r>
        <w:rPr>
          <w:rFonts w:hint="eastAsia" w:ascii="Times New Roman" w:hAnsi="Times New Roman" w:eastAsia="方正仿宋_GBK"/>
          <w:sz w:val="32"/>
          <w:szCs w:val="32"/>
        </w:rPr>
        <w:t>政策执行单位、第三方审计单位、</w:t>
      </w:r>
      <w:r>
        <w:rPr>
          <w:rFonts w:ascii="Times New Roman" w:hAnsi="Times New Roman" w:eastAsia="方正仿宋_GBK"/>
          <w:sz w:val="32"/>
          <w:szCs w:val="32"/>
        </w:rPr>
        <w:t>服务平台发现有异常交易，本单位同意全力配合查明情况并提供证据材料。</w:t>
      </w:r>
    </w:p>
    <w:p w14:paraId="1E7CE019">
      <w:pPr>
        <w:snapToGrid w:val="0"/>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承诺诚信经营，不得采用包括但不限于先涨价后折扣等手段欺骗消费者。承诺提供的商品或服务内容符合国家法律法规和行业要求，对提供商品、服务的品质依法承担保证责任。承诺若自身出现违法违规等行为时，自动退出该补贴政策，并承担相应经济损失。</w:t>
      </w:r>
    </w:p>
    <w:p w14:paraId="5FE26461">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因本单位提供的服务及产品问题引发的客户退换货、投诉和争议等，由本单位负责解决，妥善安抚并依法赔偿消费者由此造成的相关损失，保护消费者权益。对于涉及本单位的其他投诉及纠纷事宜，应第一时间主动配合关联方予以处理。若发生媒体投诉，将及时联络政策实施部门、服务平台相关工作人员，达成处置共识后，由双方按统一口径回应媒体，避免不良影响扩大化。</w:t>
      </w:r>
    </w:p>
    <w:p w14:paraId="22B462B4">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w:t>
      </w:r>
      <w:r>
        <w:rPr>
          <w:rFonts w:ascii="Times New Roman" w:hAnsi="Times New Roman" w:eastAsia="方正仿宋_GBK"/>
          <w:sz w:val="32"/>
          <w:szCs w:val="32"/>
        </w:rPr>
        <w:t>承诺积极配合政府部门以数据核查、第三方审计</w:t>
      </w:r>
      <w:r>
        <w:rPr>
          <w:rFonts w:hint="eastAsia" w:ascii="Times New Roman" w:hAnsi="Times New Roman" w:eastAsia="方正仿宋_GBK"/>
          <w:sz w:val="32"/>
          <w:szCs w:val="32"/>
        </w:rPr>
        <w:t>单位</w:t>
      </w:r>
      <w:r>
        <w:rPr>
          <w:rFonts w:ascii="Times New Roman" w:hAnsi="Times New Roman" w:eastAsia="方正仿宋_GBK"/>
          <w:sz w:val="32"/>
          <w:szCs w:val="32"/>
        </w:rPr>
        <w:t>等方式进行审计监督等工作，包括但不限于及时提供参与</w:t>
      </w:r>
      <w:r>
        <w:rPr>
          <w:rFonts w:hint="eastAsia" w:ascii="Times New Roman" w:hAnsi="Times New Roman" w:eastAsia="方正仿宋_GBK"/>
          <w:sz w:val="32"/>
          <w:szCs w:val="32"/>
        </w:rPr>
        <w:t>家居以旧换新消费券政策</w:t>
      </w:r>
      <w:r>
        <w:rPr>
          <w:rFonts w:ascii="Times New Roman" w:hAnsi="Times New Roman" w:eastAsia="方正仿宋_GBK"/>
          <w:sz w:val="32"/>
          <w:szCs w:val="32"/>
        </w:rPr>
        <w:t>的交易具体消费清单、电子发票信息、资金明细、销售数据和退货数据明细等原始资料和财务凭证。</w:t>
      </w:r>
    </w:p>
    <w:p w14:paraId="4931415C">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11</w:t>
      </w:r>
      <w:r>
        <w:rPr>
          <w:rFonts w:hint="eastAsia" w:ascii="Times New Roman" w:hAnsi="Times New Roman" w:eastAsia="方正仿宋_GBK"/>
          <w:sz w:val="32"/>
          <w:szCs w:val="32"/>
        </w:rPr>
        <w:t>．</w:t>
      </w:r>
      <w:r>
        <w:rPr>
          <w:rFonts w:ascii="Times New Roman" w:hAnsi="Times New Roman" w:eastAsia="方正仿宋_GBK"/>
          <w:sz w:val="32"/>
          <w:szCs w:val="32"/>
        </w:rPr>
        <w:t>承诺指定专人负责处理包括但不限于日常沟通、宣传推广、客户投诉等</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中涉及的各项事宜。</w:t>
      </w:r>
    </w:p>
    <w:p w14:paraId="6644AF06">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 xml:space="preserve">部门/职务：                                            </w:t>
      </w:r>
    </w:p>
    <w:p w14:paraId="5816CB0B">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 xml:space="preserve">联 系 人：                                             </w:t>
      </w:r>
    </w:p>
    <w:p w14:paraId="5E31FC52">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 xml:space="preserve">联系电话： </w:t>
      </w:r>
    </w:p>
    <w:p w14:paraId="786A4A7B">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本单位知晓并同意，如违反以上任何承诺，政策实施部门和服务平台有权随时取消本</w:t>
      </w:r>
      <w:r>
        <w:rPr>
          <w:rFonts w:hint="eastAsia" w:ascii="Times New Roman" w:hAnsi="Times New Roman" w:eastAsia="方正仿宋_GBK"/>
          <w:sz w:val="32"/>
          <w:szCs w:val="32"/>
        </w:rPr>
        <w:t>参与单位及</w:t>
      </w:r>
      <w:r>
        <w:rPr>
          <w:rFonts w:ascii="Times New Roman" w:hAnsi="Times New Roman" w:eastAsia="方正仿宋_GBK"/>
          <w:sz w:val="32"/>
          <w:szCs w:val="32"/>
        </w:rPr>
        <w:t>门店参与政策的资格</w:t>
      </w:r>
      <w:r>
        <w:rPr>
          <w:rFonts w:hint="eastAsia" w:ascii="Times New Roman" w:hAnsi="Times New Roman" w:eastAsia="方正仿宋_GBK"/>
          <w:sz w:val="32"/>
          <w:szCs w:val="32"/>
        </w:rPr>
        <w:t>，</w:t>
      </w:r>
      <w:r>
        <w:rPr>
          <w:rFonts w:ascii="Times New Roman" w:hAnsi="Times New Roman" w:eastAsia="方正仿宋_GBK"/>
          <w:sz w:val="32"/>
          <w:szCs w:val="32"/>
        </w:rPr>
        <w:t>并丧失后续参与</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的资格，且本单位同意政策</w:t>
      </w:r>
      <w:r>
        <w:rPr>
          <w:rFonts w:hint="eastAsia" w:ascii="Times New Roman" w:hAnsi="Times New Roman" w:eastAsia="方正仿宋_GBK"/>
          <w:sz w:val="32"/>
          <w:szCs w:val="32"/>
        </w:rPr>
        <w:t>执行单位</w:t>
      </w:r>
      <w:r>
        <w:rPr>
          <w:rFonts w:ascii="Times New Roman" w:hAnsi="Times New Roman" w:eastAsia="方正仿宋_GBK"/>
          <w:sz w:val="32"/>
          <w:szCs w:val="32"/>
        </w:rPr>
        <w:t>和服务平台可进一步采取包括但不限于以下任一或同时采取以下全部措施，追究本</w:t>
      </w:r>
      <w:r>
        <w:rPr>
          <w:rFonts w:hint="eastAsia" w:ascii="Times New Roman" w:hAnsi="Times New Roman" w:eastAsia="方正仿宋_GBK"/>
          <w:sz w:val="32"/>
          <w:szCs w:val="32"/>
        </w:rPr>
        <w:t>参与单位</w:t>
      </w:r>
      <w:r>
        <w:rPr>
          <w:rFonts w:ascii="Times New Roman" w:hAnsi="Times New Roman" w:eastAsia="方正仿宋_GBK"/>
          <w:sz w:val="32"/>
          <w:szCs w:val="32"/>
        </w:rPr>
        <w:t>相关违约责任：</w:t>
      </w:r>
    </w:p>
    <w:p w14:paraId="137F77DE">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（1）要求本</w:t>
      </w:r>
      <w:r>
        <w:rPr>
          <w:rFonts w:hint="eastAsia" w:ascii="Times New Roman" w:hAnsi="Times New Roman" w:eastAsia="方正仿宋_GBK"/>
          <w:sz w:val="32"/>
          <w:szCs w:val="32"/>
        </w:rPr>
        <w:t>参与单位</w:t>
      </w:r>
      <w:r>
        <w:rPr>
          <w:rFonts w:ascii="Times New Roman" w:hAnsi="Times New Roman" w:eastAsia="方正仿宋_GBK"/>
          <w:sz w:val="32"/>
          <w:szCs w:val="32"/>
        </w:rPr>
        <w:t>全额退还经政策</w:t>
      </w:r>
      <w:r>
        <w:rPr>
          <w:rFonts w:hint="eastAsia" w:ascii="Times New Roman" w:hAnsi="Times New Roman" w:eastAsia="方正仿宋_GBK"/>
          <w:sz w:val="32"/>
          <w:szCs w:val="32"/>
        </w:rPr>
        <w:t>执行单位</w:t>
      </w:r>
      <w:r>
        <w:rPr>
          <w:rFonts w:ascii="Times New Roman" w:hAnsi="Times New Roman" w:eastAsia="方正仿宋_GBK"/>
          <w:sz w:val="32"/>
          <w:szCs w:val="32"/>
        </w:rPr>
        <w:t>和服务平台认定的违约行为所涉</w:t>
      </w:r>
      <w:r>
        <w:rPr>
          <w:rFonts w:hint="eastAsia" w:ascii="Times New Roman" w:hAnsi="Times New Roman" w:eastAsia="方正仿宋_GBK"/>
          <w:sz w:val="32"/>
          <w:szCs w:val="32"/>
        </w:rPr>
        <w:t>家居以旧</w:t>
      </w:r>
      <w:r>
        <w:rPr>
          <w:rFonts w:hint="eastAsia" w:ascii="Times New Roman" w:hAnsi="Times New Roman" w:eastAsia="方正仿宋_GBK"/>
          <w:sz w:val="32"/>
          <w:szCs w:val="32"/>
          <w:lang w:eastAsia="zh-CN"/>
        </w:rPr>
        <w:t>换新补贴政策</w:t>
      </w:r>
      <w:r>
        <w:rPr>
          <w:rFonts w:ascii="Times New Roman" w:hAnsi="Times New Roman" w:eastAsia="方正仿宋_GBK"/>
          <w:sz w:val="32"/>
          <w:szCs w:val="32"/>
        </w:rPr>
        <w:t>补贴资金。</w:t>
      </w:r>
    </w:p>
    <w:p w14:paraId="5A26DF03">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（2）要求本</w:t>
      </w:r>
      <w:r>
        <w:rPr>
          <w:rFonts w:hint="eastAsia" w:ascii="Times New Roman" w:hAnsi="Times New Roman" w:eastAsia="方正仿宋_GBK"/>
          <w:sz w:val="32"/>
          <w:szCs w:val="32"/>
        </w:rPr>
        <w:t>参与单位</w:t>
      </w:r>
      <w:r>
        <w:rPr>
          <w:rFonts w:ascii="Times New Roman" w:hAnsi="Times New Roman" w:eastAsia="方正仿宋_GBK"/>
          <w:sz w:val="32"/>
          <w:szCs w:val="32"/>
        </w:rPr>
        <w:t>赔偿违约行为所导致的一切损失。</w:t>
      </w:r>
    </w:p>
    <w:p w14:paraId="7BBD24E3">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（3）政策</w:t>
      </w:r>
      <w:r>
        <w:rPr>
          <w:rFonts w:hint="eastAsia" w:ascii="Times New Roman" w:hAnsi="Times New Roman" w:eastAsia="方正仿宋_GBK"/>
          <w:sz w:val="32"/>
          <w:szCs w:val="32"/>
        </w:rPr>
        <w:t>执行单位</w:t>
      </w:r>
      <w:r>
        <w:rPr>
          <w:rFonts w:ascii="Times New Roman" w:hAnsi="Times New Roman" w:eastAsia="方正仿宋_GBK"/>
          <w:sz w:val="32"/>
          <w:szCs w:val="32"/>
        </w:rPr>
        <w:t>有权会同相关部门将本</w:t>
      </w:r>
      <w:r>
        <w:rPr>
          <w:rFonts w:hint="eastAsia" w:ascii="Times New Roman" w:hAnsi="Times New Roman" w:eastAsia="方正仿宋_GBK"/>
          <w:sz w:val="32"/>
          <w:szCs w:val="32"/>
        </w:rPr>
        <w:t>参与单位</w:t>
      </w:r>
      <w:r>
        <w:rPr>
          <w:rFonts w:ascii="Times New Roman" w:hAnsi="Times New Roman" w:eastAsia="方正仿宋_GBK"/>
          <w:sz w:val="32"/>
          <w:szCs w:val="32"/>
        </w:rPr>
        <w:t>依法列入不诚信单位名单。</w:t>
      </w:r>
    </w:p>
    <w:p w14:paraId="46C09196">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特此承诺。</w:t>
      </w:r>
    </w:p>
    <w:p w14:paraId="4BF7E1CF">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本函自落款之日起生效，并持续有效。</w:t>
      </w:r>
    </w:p>
    <w:p w14:paraId="4ECF1E32">
      <w:pPr>
        <w:snapToGrid w:val="0"/>
        <w:spacing w:line="600" w:lineRule="exact"/>
        <w:ind w:firstLine="645"/>
        <w:rPr>
          <w:rFonts w:ascii="Times New Roman" w:hAnsi="Times New Roman" w:eastAsia="方正仿宋_GBK"/>
          <w:sz w:val="32"/>
          <w:szCs w:val="32"/>
        </w:rPr>
      </w:pPr>
    </w:p>
    <w:p w14:paraId="494744F3">
      <w:pPr>
        <w:snapToGrid w:val="0"/>
        <w:spacing w:line="600" w:lineRule="exact"/>
        <w:ind w:firstLine="4182" w:firstLineChars="1307"/>
        <w:rPr>
          <w:rFonts w:ascii="Times New Roman" w:hAnsi="Times New Roman" w:eastAsia="方正仿宋_GBK"/>
          <w:sz w:val="32"/>
          <w:szCs w:val="32"/>
        </w:rPr>
      </w:pPr>
      <w:r>
        <w:rPr>
          <w:rFonts w:hint="eastAsia" w:ascii="Times New Roman" w:hAnsi="Times New Roman" w:eastAsia="方正仿宋_GBK"/>
          <w:sz w:val="32"/>
          <w:szCs w:val="32"/>
        </w:rPr>
        <w:t>承诺单位</w:t>
      </w:r>
      <w:r>
        <w:rPr>
          <w:rFonts w:ascii="Times New Roman" w:hAnsi="Times New Roman" w:eastAsia="方正仿宋_GBK"/>
          <w:sz w:val="32"/>
          <w:szCs w:val="32"/>
        </w:rPr>
        <w:t xml:space="preserve">名称（盖章）：             </w:t>
      </w:r>
    </w:p>
    <w:p w14:paraId="40A3DA15">
      <w:pPr>
        <w:snapToGrid w:val="0"/>
        <w:spacing w:line="600" w:lineRule="exact"/>
        <w:ind w:firstLine="645"/>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法定代表人（签字）： </w:t>
      </w:r>
    </w:p>
    <w:p w14:paraId="460646C6">
      <w:pPr>
        <w:spacing w:line="600" w:lineRule="exact"/>
        <w:rPr>
          <w:rFonts w:ascii="Times New Roman" w:hAnsi="Times New Roman" w:eastAsia="方正仿宋_GBK"/>
          <w:sz w:val="32"/>
          <w:szCs w:val="32"/>
        </w:rPr>
      </w:pPr>
      <w:r>
        <w:rPr>
          <w:rFonts w:ascii="Times New Roman" w:hAnsi="Times New Roman" w:eastAsia="方正仿宋_GBK"/>
        </w:rPr>
        <w:t xml:space="preserve">                    </w:t>
      </w:r>
      <w:r>
        <w:rPr>
          <w:rFonts w:hint="eastAsia" w:ascii="Times New Roman" w:hAnsi="Times New Roman" w:eastAsia="方正仿宋_GBK"/>
        </w:rPr>
        <w:t xml:space="preserve">　　                     </w:t>
      </w:r>
      <w:r>
        <w:rPr>
          <w:rFonts w:ascii="Times New Roman" w:hAnsi="Times New Roman" w:eastAsia="方正仿宋_GBK"/>
          <w:sz w:val="32"/>
          <w:szCs w:val="32"/>
        </w:rPr>
        <w:t xml:space="preserve">2024年  月  日 </w:t>
      </w:r>
    </w:p>
    <w:p w14:paraId="6F6C1261">
      <w:pPr>
        <w:sectPr>
          <w:footerReference r:id="rId3" w:type="default"/>
          <w:pgSz w:w="11906" w:h="16838"/>
          <w:pgMar w:top="1440" w:right="1800" w:bottom="1440" w:left="1800" w:header="851" w:footer="992" w:gutter="0"/>
          <w:cols w:space="425" w:num="1"/>
          <w:docGrid w:type="lines" w:linePitch="312" w:charSpace="0"/>
        </w:sectPr>
      </w:pPr>
    </w:p>
    <w:p w14:paraId="5BC1AF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53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4D229">
                          <w:pPr>
                            <w:pStyle w:val="2"/>
                            <w:rPr>
                              <w:rFonts w:hint="eastAsia" w:eastAsia="宋体"/>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E4D229">
                    <w:pPr>
                      <w:pStyle w:val="2"/>
                      <w:rPr>
                        <w:rFonts w:hint="eastAsia" w:eastAsia="宋体"/>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WU4ZjgyYTY3NWY0MjIwMzJkOGNhODc4YTdjMWQifQ=="/>
  </w:docVars>
  <w:rsids>
    <w:rsidRoot w:val="7F130450"/>
    <w:rsid w:val="7F13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customStyle="1" w:styleId="6">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2024-11-07T03:54:00Z</dcterms:created>
  <dc:creator>asus</dc:creator>
  <cp:lastModifiedBy>asus</cp:lastModifiedBy>
  <dcterms:modified xsi:type="dcterms:W3CDTF">2024-11-07T03:55:12Z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E2DCDDA28CF04810B80C4D5D12529EFB_11</vt:lpwstr>
  </property>
</Properties>
</file>