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22F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jc w:val="both"/>
        <w:textAlignment w:val="auto"/>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附件</w:t>
      </w:r>
      <w:r>
        <w:rPr>
          <w:rFonts w:hint="eastAsia" w:ascii="Times New Roman" w:hAnsi="Times New Roman" w:eastAsia="方正黑体_GBK"/>
          <w:color w:val="auto"/>
          <w:sz w:val="32"/>
          <w:szCs w:val="32"/>
          <w:highlight w:val="none"/>
        </w:rPr>
        <w:t>2</w:t>
      </w:r>
    </w:p>
    <w:p w14:paraId="355987FE">
      <w:pPr>
        <w:spacing w:line="600" w:lineRule="exact"/>
        <w:jc w:val="center"/>
        <w:rPr>
          <w:rFonts w:ascii="Times New Roman" w:hAnsi="Times New Roman" w:eastAsia="方正小标宋简体" w:cs="Times New Roman"/>
          <w:color w:val="auto"/>
          <w:sz w:val="44"/>
          <w:szCs w:val="44"/>
          <w:highlight w:val="none"/>
        </w:rPr>
      </w:pPr>
    </w:p>
    <w:p w14:paraId="6C0FFA7D">
      <w:pPr>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重庆市2024年</w:t>
      </w:r>
      <w:r>
        <w:rPr>
          <w:rFonts w:hint="eastAsia" w:ascii="Times New Roman" w:hAnsi="Times New Roman" w:eastAsia="方正小标宋简体" w:cs="Times New Roman"/>
          <w:color w:val="auto"/>
          <w:sz w:val="44"/>
          <w:szCs w:val="44"/>
          <w:highlight w:val="none"/>
          <w:lang w:val="en-US" w:eastAsia="zh-CN"/>
        </w:rPr>
        <w:t>家居</w:t>
      </w:r>
      <w:r>
        <w:rPr>
          <w:rFonts w:ascii="Times New Roman" w:hAnsi="Times New Roman" w:eastAsia="方正小标宋简体" w:cs="Times New Roman"/>
          <w:color w:val="auto"/>
          <w:sz w:val="44"/>
          <w:szCs w:val="44"/>
          <w:highlight w:val="none"/>
        </w:rPr>
        <w:t>以旧换新补贴政策</w:t>
      </w:r>
    </w:p>
    <w:p w14:paraId="5066D3F4">
      <w:pPr>
        <w:spacing w:line="600" w:lineRule="exact"/>
        <w:jc w:val="center"/>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val="en-US" w:eastAsia="zh-CN"/>
        </w:rPr>
        <w:t>参与线上企业</w:t>
      </w:r>
      <w:r>
        <w:rPr>
          <w:rFonts w:ascii="Times New Roman" w:hAnsi="Times New Roman" w:eastAsia="方正小标宋简体" w:cs="Times New Roman"/>
          <w:color w:val="auto"/>
          <w:sz w:val="44"/>
          <w:szCs w:val="44"/>
          <w:highlight w:val="none"/>
        </w:rPr>
        <w:t>承诺书</w:t>
      </w:r>
    </w:p>
    <w:p w14:paraId="09C8A50C">
      <w:pPr>
        <w:pStyle w:val="7"/>
        <w:spacing w:line="600" w:lineRule="exact"/>
        <w:ind w:firstLine="0" w:firstLineChars="0"/>
        <w:rPr>
          <w:rFonts w:ascii="Times New Roman" w:hAnsi="Times New Roman" w:eastAsia="方正仿宋_GBK"/>
          <w:color w:val="auto"/>
          <w:highlight w:val="none"/>
        </w:rPr>
      </w:pPr>
    </w:p>
    <w:p w14:paraId="430BB7A6">
      <w:pPr>
        <w:ind w:firstLine="645"/>
        <w:rPr>
          <w:rFonts w:ascii="Times New Roman" w:hAnsi="Times New Roman" w:eastAsia="方正仿宋_GBK"/>
          <w:color w:val="auto"/>
          <w:sz w:val="32"/>
          <w:szCs w:val="32"/>
          <w:highlight w:val="none"/>
        </w:rPr>
      </w:pPr>
      <w:r>
        <w:rPr>
          <w:rFonts w:ascii="Times New Roman" w:hAnsi="Times New Roman" w:eastAsia="方正仿宋_GBK" w:cs="Times New Roman"/>
          <w:color w:val="auto"/>
          <w:sz w:val="32"/>
          <w:szCs w:val="32"/>
          <w:highlight w:val="none"/>
        </w:rPr>
        <w:t>本</w:t>
      </w:r>
      <w:r>
        <w:rPr>
          <w:rFonts w:hint="eastAsia" w:ascii="Times New Roman" w:hAnsi="Times New Roman" w:eastAsia="方正仿宋_GBK" w:cs="Times New Roman"/>
          <w:color w:val="auto"/>
          <w:sz w:val="32"/>
          <w:szCs w:val="32"/>
          <w:highlight w:val="none"/>
          <w:lang w:val="en-US" w:eastAsia="zh-CN"/>
        </w:rPr>
        <w:t>线上企业</w:t>
      </w:r>
      <w:r>
        <w:rPr>
          <w:rFonts w:ascii="Times New Roman" w:hAnsi="Times New Roman" w:eastAsia="方正仿宋_GBK"/>
          <w:color w:val="auto"/>
          <w:sz w:val="32"/>
          <w:szCs w:val="32"/>
          <w:highlight w:val="none"/>
        </w:rPr>
        <w:t>（        ）自愿申请参与实施重庆市2024年</w:t>
      </w:r>
      <w:r>
        <w:rPr>
          <w:rFonts w:hint="eastAsia" w:ascii="Times New Roman" w:hAnsi="Times New Roman" w:eastAsia="方正仿宋_GBK"/>
          <w:color w:val="auto"/>
          <w:sz w:val="32"/>
          <w:szCs w:val="32"/>
          <w:highlight w:val="none"/>
          <w:lang w:val="en-US" w:eastAsia="zh-CN"/>
        </w:rPr>
        <w:t>家居</w:t>
      </w:r>
      <w:r>
        <w:rPr>
          <w:rFonts w:ascii="Times New Roman" w:hAnsi="Times New Roman" w:eastAsia="方正仿宋_GBK"/>
          <w:color w:val="auto"/>
          <w:sz w:val="32"/>
          <w:szCs w:val="32"/>
          <w:highlight w:val="none"/>
        </w:rPr>
        <w:t>以旧换新补贴政策（简称</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家居</w:t>
      </w:r>
      <w:r>
        <w:rPr>
          <w:rFonts w:ascii="Times New Roman" w:hAnsi="Times New Roman" w:eastAsia="方正仿宋_GBK"/>
          <w:color w:val="auto"/>
          <w:sz w:val="32"/>
          <w:szCs w:val="32"/>
          <w:highlight w:val="none"/>
        </w:rPr>
        <w:t>补贴政策</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），并郑重承诺如下：</w:t>
      </w:r>
    </w:p>
    <w:p w14:paraId="7D868651">
      <w:pPr>
        <w:ind w:firstLine="645"/>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承诺严格遵守各项促进</w:t>
      </w:r>
      <w:r>
        <w:rPr>
          <w:rFonts w:hint="eastAsia" w:ascii="Times New Roman" w:hAnsi="Times New Roman" w:eastAsia="方正仿宋_GBK" w:cs="Times New Roman"/>
          <w:color w:val="auto"/>
          <w:sz w:val="32"/>
          <w:szCs w:val="32"/>
          <w:highlight w:val="none"/>
          <w:lang w:val="en-US" w:eastAsia="zh-CN"/>
        </w:rPr>
        <w:t>家居</w:t>
      </w:r>
      <w:r>
        <w:rPr>
          <w:rFonts w:ascii="Times New Roman" w:hAnsi="Times New Roman" w:eastAsia="方正仿宋_GBK" w:cs="Times New Roman"/>
          <w:color w:val="auto"/>
          <w:sz w:val="32"/>
          <w:szCs w:val="32"/>
          <w:highlight w:val="none"/>
        </w:rPr>
        <w:t>消费补贴政策</w:t>
      </w:r>
      <w:r>
        <w:rPr>
          <w:rFonts w:hint="eastAsia" w:ascii="Times New Roman" w:hAnsi="Times New Roman" w:eastAsia="方正仿宋_GBK" w:cs="Times New Roman"/>
          <w:color w:val="auto"/>
          <w:sz w:val="32"/>
          <w:szCs w:val="32"/>
          <w:highlight w:val="none"/>
          <w:lang w:val="en-US" w:eastAsia="zh-CN"/>
        </w:rPr>
        <w:t>规定</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按照活动执行方的要求做好家居以旧换新的补贴实施工作。</w:t>
      </w:r>
    </w:p>
    <w:p w14:paraId="78CA24B7">
      <w:pPr>
        <w:ind w:firstLine="645"/>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承诺提供的申请信息真实、完整、准确，如本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提供了错误或虚假的信息，本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将承担全部责任（包括但不限于本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无法获得垫付的补贴资金所招致的损失等各类情形），并且如因本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的前述行为给政策实施部门和服务平台造成了任何损失，本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愿承担赔偿责任。</w:t>
      </w:r>
    </w:p>
    <w:p w14:paraId="3E46DCB2">
      <w:pPr>
        <w:ind w:firstLine="645"/>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承诺</w:t>
      </w:r>
      <w:r>
        <w:rPr>
          <w:rFonts w:hint="eastAsia" w:ascii="Times New Roman" w:hAnsi="Times New Roman" w:eastAsia="方正仿宋_GBK" w:cs="Times New Roman"/>
          <w:color w:val="auto"/>
          <w:sz w:val="32"/>
          <w:szCs w:val="32"/>
          <w:highlight w:val="none"/>
        </w:rPr>
        <w:t>根据活动执行方审核通过的</w:t>
      </w:r>
      <w:r>
        <w:rPr>
          <w:rFonts w:hint="eastAsia" w:ascii="Times New Roman" w:hAnsi="Times New Roman" w:eastAsia="方正仿宋_GBK" w:cs="Times New Roman"/>
          <w:color w:val="auto"/>
          <w:sz w:val="32"/>
          <w:szCs w:val="32"/>
          <w:highlight w:val="none"/>
          <w:lang w:val="en-US" w:eastAsia="zh-CN"/>
        </w:rPr>
        <w:t>家居</w:t>
      </w:r>
      <w:r>
        <w:rPr>
          <w:rFonts w:hint="eastAsia" w:ascii="Times New Roman" w:hAnsi="Times New Roman" w:eastAsia="方正仿宋_GBK" w:cs="Times New Roman"/>
          <w:color w:val="auto"/>
          <w:sz w:val="32"/>
          <w:szCs w:val="32"/>
          <w:highlight w:val="none"/>
        </w:rPr>
        <w:t>产品，据实组织平台内符合补贴范围产品设立</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重庆</w:t>
      </w:r>
      <w:r>
        <w:rPr>
          <w:rFonts w:hint="eastAsia" w:ascii="Times New Roman" w:hAnsi="Times New Roman" w:eastAsia="方正仿宋_GBK" w:cs="Times New Roman"/>
          <w:color w:val="auto"/>
          <w:sz w:val="32"/>
          <w:szCs w:val="32"/>
          <w:highlight w:val="none"/>
          <w:lang w:val="en-US" w:eastAsia="zh-CN"/>
        </w:rPr>
        <w:t>市2024家居以旧换新</w:t>
      </w:r>
      <w:r>
        <w:rPr>
          <w:rFonts w:hint="eastAsia" w:ascii="Times New Roman" w:hAnsi="Times New Roman" w:eastAsia="方正仿宋_GBK" w:cs="Times New Roman"/>
          <w:color w:val="auto"/>
          <w:sz w:val="32"/>
          <w:szCs w:val="32"/>
          <w:highlight w:val="none"/>
        </w:rPr>
        <w:t>补贴专区</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，消费者购买专区内产品</w:t>
      </w:r>
      <w:r>
        <w:rPr>
          <w:rFonts w:hint="eastAsia" w:ascii="Times New Roman" w:hAnsi="Times New Roman" w:eastAsia="方正仿宋_GBK" w:cs="Times New Roman"/>
          <w:color w:val="auto"/>
          <w:sz w:val="32"/>
          <w:szCs w:val="32"/>
          <w:highlight w:val="none"/>
          <w:lang w:val="en-US" w:eastAsia="zh-CN"/>
        </w:rPr>
        <w:t>且收货地址需在重庆行政区域内，方</w:t>
      </w:r>
      <w:r>
        <w:rPr>
          <w:rFonts w:hint="eastAsia" w:ascii="Times New Roman" w:hAnsi="Times New Roman" w:eastAsia="方正仿宋_GBK" w:cs="Times New Roman"/>
          <w:color w:val="auto"/>
          <w:sz w:val="32"/>
          <w:szCs w:val="32"/>
          <w:highlight w:val="none"/>
        </w:rPr>
        <w:t>可享受补贴政策。</w:t>
      </w:r>
    </w:p>
    <w:p w14:paraId="2E3B0F05">
      <w:pPr>
        <w:ind w:firstLine="645"/>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4.承诺</w:t>
      </w:r>
      <w:r>
        <w:rPr>
          <w:rFonts w:ascii="Times New Roman" w:hAnsi="Times New Roman" w:eastAsia="方正仿宋_GBK" w:cs="Times New Roman"/>
          <w:color w:val="auto"/>
          <w:sz w:val="32"/>
          <w:szCs w:val="32"/>
          <w:highlight w:val="none"/>
        </w:rPr>
        <w:t>于公示后7日内与服务平台完成</w:t>
      </w:r>
      <w:r>
        <w:rPr>
          <w:rFonts w:hint="eastAsia" w:ascii="Times New Roman" w:hAnsi="Times New Roman" w:eastAsia="方正仿宋_GBK" w:cs="Times New Roman"/>
          <w:color w:val="auto"/>
          <w:sz w:val="32"/>
          <w:szCs w:val="32"/>
          <w:highlight w:val="none"/>
          <w:lang w:eastAsia="zh-CN"/>
        </w:rPr>
        <w:t>技术</w:t>
      </w:r>
      <w:r>
        <w:rPr>
          <w:rFonts w:ascii="Times New Roman" w:hAnsi="Times New Roman" w:eastAsia="方正仿宋_GBK" w:cs="Times New Roman"/>
          <w:color w:val="auto"/>
          <w:sz w:val="32"/>
          <w:szCs w:val="32"/>
          <w:highlight w:val="none"/>
        </w:rPr>
        <w:t>对接，</w:t>
      </w:r>
      <w:r>
        <w:rPr>
          <w:rFonts w:hint="eastAsia" w:ascii="Times New Roman" w:hAnsi="Times New Roman" w:eastAsia="方正仿宋_GBK" w:cs="Times New Roman"/>
          <w:color w:val="auto"/>
          <w:sz w:val="32"/>
          <w:szCs w:val="32"/>
          <w:highlight w:val="none"/>
        </w:rPr>
        <w:t>通过云闪付APP实现</w:t>
      </w:r>
      <w:r>
        <w:rPr>
          <w:rFonts w:hint="eastAsia" w:ascii="Times New Roman" w:hAnsi="Times New Roman" w:eastAsia="方正仿宋_GBK" w:cs="Times New Roman"/>
          <w:color w:val="auto"/>
          <w:sz w:val="32"/>
          <w:szCs w:val="32"/>
          <w:highlight w:val="none"/>
          <w:lang w:val="en-US" w:eastAsia="zh-CN"/>
        </w:rPr>
        <w:t>补贴资格核验、领取和核销</w:t>
      </w:r>
      <w:r>
        <w:rPr>
          <w:rFonts w:hint="eastAsia" w:ascii="Times New Roman" w:hAnsi="Times New Roman" w:eastAsia="方正仿宋_GBK" w:cs="Times New Roman"/>
          <w:color w:val="auto"/>
          <w:sz w:val="32"/>
          <w:szCs w:val="32"/>
          <w:highlight w:val="none"/>
        </w:rPr>
        <w:t>，并</w:t>
      </w:r>
      <w:r>
        <w:rPr>
          <w:rFonts w:hint="eastAsia" w:ascii="Times New Roman" w:hAnsi="Times New Roman" w:eastAsia="方正仿宋_GBK" w:cs="Times New Roman"/>
          <w:color w:val="auto"/>
          <w:sz w:val="32"/>
          <w:szCs w:val="32"/>
          <w:highlight w:val="none"/>
          <w:lang w:val="en-US" w:eastAsia="zh-CN"/>
        </w:rPr>
        <w:t>完整、准确、真实</w:t>
      </w:r>
      <w:r>
        <w:rPr>
          <w:rFonts w:hint="eastAsia" w:ascii="Times New Roman" w:hAnsi="Times New Roman" w:eastAsia="方正仿宋_GBK" w:cs="Times New Roman"/>
          <w:color w:val="auto"/>
          <w:sz w:val="32"/>
          <w:szCs w:val="32"/>
          <w:highlight w:val="none"/>
        </w:rPr>
        <w:t>上传商品条形码、商</w:t>
      </w:r>
      <w:r>
        <w:rPr>
          <w:rFonts w:hint="eastAsia" w:ascii="Times New Roman" w:hAnsi="Times New Roman" w:eastAsia="方正仿宋_GBK" w:cs="Times New Roman"/>
          <w:color w:val="auto"/>
          <w:sz w:val="32"/>
          <w:szCs w:val="32"/>
          <w:highlight w:val="none"/>
          <w:lang w:val="en-US" w:eastAsia="zh-CN"/>
        </w:rPr>
        <w:t>品</w:t>
      </w:r>
      <w:r>
        <w:rPr>
          <w:rFonts w:hint="eastAsia" w:ascii="Times New Roman" w:hAnsi="Times New Roman" w:eastAsia="方正仿宋_GBK" w:cs="Times New Roman"/>
          <w:color w:val="auto"/>
          <w:sz w:val="32"/>
          <w:szCs w:val="32"/>
          <w:highlight w:val="none"/>
        </w:rPr>
        <w:t>名称、商品</w:t>
      </w:r>
      <w:r>
        <w:rPr>
          <w:rFonts w:hint="eastAsia" w:ascii="Times New Roman" w:hAnsi="Times New Roman" w:eastAsia="方正仿宋_GBK" w:cs="Times New Roman"/>
          <w:color w:val="auto"/>
          <w:sz w:val="32"/>
          <w:szCs w:val="32"/>
          <w:highlight w:val="none"/>
          <w:lang w:val="en-US" w:eastAsia="zh-CN"/>
        </w:rPr>
        <w:t>成交价</w:t>
      </w:r>
      <w:r>
        <w:rPr>
          <w:rFonts w:hint="eastAsia" w:ascii="Times New Roman" w:hAnsi="Times New Roman" w:eastAsia="方正仿宋_GBK" w:cs="Times New Roman"/>
          <w:color w:val="auto"/>
          <w:sz w:val="32"/>
          <w:szCs w:val="32"/>
          <w:highlight w:val="none"/>
        </w:rPr>
        <w:t>、优惠码等相关</w:t>
      </w:r>
      <w:r>
        <w:rPr>
          <w:rFonts w:hint="eastAsia" w:ascii="Times New Roman" w:hAnsi="Times New Roman" w:eastAsia="方正仿宋_GBK" w:cs="Times New Roman"/>
          <w:color w:val="auto"/>
          <w:sz w:val="32"/>
          <w:szCs w:val="32"/>
          <w:highlight w:val="none"/>
          <w:lang w:val="en-US" w:eastAsia="zh-CN"/>
        </w:rPr>
        <w:t>信息</w:t>
      </w:r>
      <w:r>
        <w:rPr>
          <w:rFonts w:hint="eastAsia" w:ascii="Times New Roman" w:hAnsi="Times New Roman" w:eastAsia="方正仿宋_GBK" w:cs="Times New Roman"/>
          <w:color w:val="auto"/>
          <w:sz w:val="32"/>
          <w:szCs w:val="32"/>
          <w:highlight w:val="none"/>
        </w:rPr>
        <w:t>。</w:t>
      </w:r>
    </w:p>
    <w:p w14:paraId="438DD004">
      <w:pPr>
        <w:ind w:firstLine="645"/>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5.承诺享受重庆补贴政策的家居铲平均由本单位在渝注册的独立法人单位向个人消费者开具发票</w:t>
      </w:r>
      <w:r>
        <w:rPr>
          <w:rFonts w:hint="eastAsia" w:ascii="Times New Roman" w:hAnsi="Times New Roman" w:eastAsia="方正仿宋_GBK" w:cs="Times New Roman"/>
          <w:color w:val="auto"/>
          <w:sz w:val="32"/>
          <w:szCs w:val="32"/>
          <w:highlight w:val="none"/>
        </w:rPr>
        <w:t>，发票合计金额应为“消费者个人实际支付金额+政府（企业）补贴金额”</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并备注消费者身份证号</w:t>
      </w:r>
      <w:r>
        <w:rPr>
          <w:rFonts w:hint="eastAsia" w:ascii="Times New Roman" w:hAnsi="Times New Roman" w:eastAsia="方正仿宋_GBK" w:cs="Times New Roman"/>
          <w:color w:val="auto"/>
          <w:sz w:val="32"/>
          <w:szCs w:val="32"/>
          <w:highlight w:val="none"/>
        </w:rPr>
        <w:t>。</w:t>
      </w:r>
    </w:p>
    <w:p w14:paraId="3D095C48">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6.承诺按照重庆市商务委员会等6个部门联合印发的《</w:t>
      </w:r>
      <w:r>
        <w:rPr>
          <w:rFonts w:hint="default" w:ascii="Times New Roman" w:hAnsi="Times New Roman" w:eastAsia="方正仿宋_GBK" w:cs="Times New Roman"/>
          <w:color w:val="auto"/>
          <w:sz w:val="32"/>
          <w:szCs w:val="32"/>
          <w:highlight w:val="none"/>
          <w:lang w:val="en-US" w:eastAsia="zh-CN"/>
        </w:rPr>
        <w:t>关于推动实施重庆市2024年家居以旧换新补贴政策的通知</w:t>
      </w:r>
      <w:r>
        <w:rPr>
          <w:rFonts w:hint="eastAsia" w:ascii="Times New Roman" w:hAnsi="Times New Roman" w:eastAsia="方正仿宋_GBK" w:cs="Times New Roman"/>
          <w:color w:val="auto"/>
          <w:sz w:val="32"/>
          <w:szCs w:val="32"/>
          <w:highlight w:val="none"/>
          <w:lang w:val="en-US" w:eastAsia="zh-CN"/>
        </w:rPr>
        <w:t>》（渝商务〔2024〕324 号）要求建立销售台账，并在申报拨付垫付资金前自行聘请第三方审计机构进行全覆盖审核。</w:t>
      </w:r>
    </w:p>
    <w:p w14:paraId="46D7A302">
      <w:pPr>
        <w:ind w:firstLine="645"/>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7.承诺本单位销售的家居送货时间原则上不能超过1个月，2025年1月31日前必须全部送货完毕。</w:t>
      </w:r>
    </w:p>
    <w:p w14:paraId="3272C5E0">
      <w:pPr>
        <w:ind w:firstLine="645"/>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8.承诺</w:t>
      </w:r>
      <w:r>
        <w:rPr>
          <w:rFonts w:hint="eastAsia" w:ascii="Times New Roman" w:hAnsi="Times New Roman" w:eastAsia="方正仿宋_GBK" w:cs="Times New Roman"/>
          <w:color w:val="auto"/>
          <w:sz w:val="32"/>
          <w:szCs w:val="32"/>
          <w:highlight w:val="none"/>
        </w:rPr>
        <w:t>加强诚信经营，</w:t>
      </w:r>
      <w:r>
        <w:rPr>
          <w:rFonts w:ascii="Times New Roman" w:hAnsi="Times New Roman" w:eastAsia="方正仿宋_GBK" w:cs="Times New Roman"/>
          <w:color w:val="auto"/>
          <w:sz w:val="32"/>
          <w:szCs w:val="32"/>
          <w:highlight w:val="none"/>
        </w:rPr>
        <w:t>不得采用包括但不限于先涨价后折扣等手段欺骗消费者</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上</w:t>
      </w:r>
      <w:r>
        <w:rPr>
          <w:rFonts w:hint="eastAsia" w:ascii="Times New Roman" w:hAnsi="Times New Roman" w:eastAsia="方正仿宋_GBK" w:cs="Times New Roman"/>
          <w:color w:val="auto"/>
          <w:sz w:val="32"/>
          <w:szCs w:val="32"/>
          <w:highlight w:val="none"/>
          <w:lang w:eastAsia="zh-CN"/>
        </w:rPr>
        <w:t>传</w:t>
      </w:r>
      <w:r>
        <w:rPr>
          <w:rFonts w:hint="eastAsia" w:ascii="Times New Roman" w:hAnsi="Times New Roman" w:eastAsia="方正仿宋_GBK" w:cs="Times New Roman"/>
          <w:color w:val="auto"/>
          <w:sz w:val="32"/>
          <w:szCs w:val="32"/>
          <w:highlight w:val="none"/>
        </w:rPr>
        <w:t>到服务平台的数据要和实际销售数据一致，并积极配合相关职能部门做好</w:t>
      </w:r>
      <w:r>
        <w:rPr>
          <w:rFonts w:hint="eastAsia" w:ascii="Times New Roman" w:hAnsi="Times New Roman" w:eastAsia="方正仿宋_GBK" w:cs="Times New Roman"/>
          <w:color w:val="auto"/>
          <w:sz w:val="32"/>
          <w:szCs w:val="32"/>
          <w:highlight w:val="none"/>
          <w:lang w:val="en-US" w:eastAsia="zh-CN"/>
        </w:rPr>
        <w:t>家居</w:t>
      </w:r>
      <w:r>
        <w:rPr>
          <w:rFonts w:hint="eastAsia" w:ascii="Times New Roman" w:hAnsi="Times New Roman" w:eastAsia="方正仿宋_GBK" w:cs="Times New Roman"/>
          <w:color w:val="auto"/>
          <w:sz w:val="32"/>
          <w:szCs w:val="32"/>
          <w:highlight w:val="none"/>
        </w:rPr>
        <w:t>补贴政策兑付过程监督，坚决杜绝骗补、套补等违法违规行为发生。</w:t>
      </w:r>
    </w:p>
    <w:p w14:paraId="0C6B0AA6">
      <w:pPr>
        <w:ind w:firstLine="645"/>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 w:eastAsia="zh-CN"/>
        </w:rPr>
        <w:t>.</w:t>
      </w:r>
      <w:r>
        <w:rPr>
          <w:rFonts w:hint="eastAsia" w:ascii="Times New Roman" w:hAnsi="Times New Roman" w:eastAsia="方正仿宋_GBK" w:cs="Times New Roman"/>
          <w:color w:val="auto"/>
          <w:sz w:val="32"/>
          <w:szCs w:val="32"/>
          <w:highlight w:val="none"/>
          <w:lang w:val="en-US" w:eastAsia="zh-CN"/>
        </w:rPr>
        <w:t>承诺本单位</w:t>
      </w:r>
      <w:r>
        <w:rPr>
          <w:rFonts w:ascii="Times New Roman" w:hAnsi="Times New Roman" w:eastAsia="方正仿宋_GBK" w:cs="Times New Roman"/>
          <w:color w:val="auto"/>
          <w:sz w:val="32"/>
          <w:szCs w:val="32"/>
          <w:highlight w:val="none"/>
        </w:rPr>
        <w:t>提供的服务及产品</w:t>
      </w:r>
      <w:r>
        <w:rPr>
          <w:rFonts w:hint="eastAsia" w:ascii="Times New Roman" w:hAnsi="Times New Roman" w:eastAsia="方正仿宋_GBK" w:cs="Times New Roman"/>
          <w:color w:val="auto"/>
          <w:sz w:val="32"/>
          <w:szCs w:val="32"/>
          <w:highlight w:val="none"/>
          <w:lang w:eastAsia="zh-CN"/>
        </w:rPr>
        <w:t>有关</w:t>
      </w:r>
      <w:r>
        <w:rPr>
          <w:rFonts w:ascii="Times New Roman" w:hAnsi="Times New Roman" w:eastAsia="方正仿宋_GBK" w:cs="Times New Roman"/>
          <w:color w:val="auto"/>
          <w:sz w:val="32"/>
          <w:szCs w:val="32"/>
          <w:highlight w:val="none"/>
        </w:rPr>
        <w:t>问题</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未根据要求实施政策而引发客户退换货、投诉和争议等</w:t>
      </w:r>
      <w:r>
        <w:rPr>
          <w:rFonts w:hint="eastAsia" w:ascii="Times New Roman" w:hAnsi="Times New Roman" w:eastAsia="方正仿宋_GBK" w:cs="Times New Roman"/>
          <w:color w:val="auto"/>
          <w:sz w:val="32"/>
          <w:szCs w:val="32"/>
          <w:highlight w:val="none"/>
          <w:lang w:eastAsia="zh-CN"/>
        </w:rPr>
        <w:t>的</w:t>
      </w:r>
      <w:r>
        <w:rPr>
          <w:rFonts w:ascii="Times New Roman" w:hAnsi="Times New Roman" w:eastAsia="方正仿宋_GBK" w:cs="Times New Roman"/>
          <w:color w:val="auto"/>
          <w:sz w:val="32"/>
          <w:szCs w:val="32"/>
          <w:highlight w:val="none"/>
        </w:rPr>
        <w:t>，由本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负责解决，妥善安抚并依法赔偿消费者由此造成的相关损失，保护消费者权益。对于涉及本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的其他投诉及纠纷事宜，应第一时间主动配合关联方予以处理。若发生媒体投诉，将及时联络政策实施部门、服务平台相关工作人员，达成处置共识后，由双方按统一口径回应媒体，避免不良影响扩大化。</w:t>
      </w:r>
    </w:p>
    <w:p w14:paraId="3BB30938">
      <w:pPr>
        <w:ind w:firstLine="645"/>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highlight w:val="none"/>
        </w:rPr>
        <w:t>承诺</w:t>
      </w:r>
      <w:r>
        <w:rPr>
          <w:rFonts w:hint="eastAsia" w:ascii="Times New Roman" w:hAnsi="Times New Roman" w:eastAsia="方正仿宋_GBK" w:cs="Times New Roman"/>
          <w:color w:val="auto"/>
          <w:sz w:val="32"/>
          <w:szCs w:val="32"/>
          <w:highlight w:val="none"/>
          <w:lang w:val="en-US" w:eastAsia="zh-CN"/>
        </w:rPr>
        <w:t>利用自身平台优势加强家居补贴政策宣传</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扩大政策知晓面</w:t>
      </w:r>
      <w:r>
        <w:rPr>
          <w:rFonts w:hint="eastAsia" w:ascii="Times New Roman" w:hAnsi="Times New Roman" w:eastAsia="方正仿宋_GBK" w:cs="Times New Roman"/>
          <w:color w:val="auto"/>
          <w:sz w:val="32"/>
          <w:szCs w:val="32"/>
          <w:highlight w:val="none"/>
        </w:rPr>
        <w:t>。</w:t>
      </w:r>
    </w:p>
    <w:p w14:paraId="24F25D56">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承诺指定专人负责处理包括但不限于日常沟通、宣传推广、客户投诉等</w:t>
      </w:r>
      <w:r>
        <w:rPr>
          <w:rFonts w:hint="eastAsia" w:ascii="Times New Roman" w:hAnsi="Times New Roman" w:eastAsia="方正仿宋_GBK" w:cs="Times New Roman"/>
          <w:color w:val="auto"/>
          <w:sz w:val="32"/>
          <w:szCs w:val="32"/>
          <w:highlight w:val="none"/>
          <w:lang w:val="en-US" w:eastAsia="zh-CN"/>
        </w:rPr>
        <w:t>家居</w:t>
      </w:r>
      <w:r>
        <w:rPr>
          <w:rFonts w:ascii="Times New Roman" w:hAnsi="Times New Roman" w:eastAsia="方正仿宋_GBK" w:cs="Times New Roman"/>
          <w:color w:val="auto"/>
          <w:sz w:val="32"/>
          <w:szCs w:val="32"/>
          <w:highlight w:val="none"/>
        </w:rPr>
        <w:t>补贴政策中涉及的各项事宜。</w:t>
      </w:r>
    </w:p>
    <w:p w14:paraId="0222D876">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部门/职务：                                            </w:t>
      </w:r>
    </w:p>
    <w:p w14:paraId="3CFB8732">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联 系 人：                                             </w:t>
      </w:r>
    </w:p>
    <w:p w14:paraId="31BF86B9">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联系电话： </w:t>
      </w:r>
    </w:p>
    <w:p w14:paraId="175E9DBD">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知晓并同意，如违反以上任何承诺，政策实施部门和服务平台有权取消本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参与政策的资格，并丧失后续参与</w:t>
      </w:r>
      <w:r>
        <w:rPr>
          <w:rFonts w:hint="eastAsia" w:ascii="Times New Roman" w:hAnsi="Times New Roman" w:eastAsia="方正仿宋_GBK" w:cs="Times New Roman"/>
          <w:color w:val="auto"/>
          <w:sz w:val="32"/>
          <w:szCs w:val="32"/>
          <w:highlight w:val="none"/>
          <w:lang w:val="en-US" w:eastAsia="zh-CN"/>
        </w:rPr>
        <w:t>家居</w:t>
      </w:r>
      <w:r>
        <w:rPr>
          <w:rFonts w:ascii="Times New Roman" w:hAnsi="Times New Roman" w:eastAsia="方正仿宋_GBK" w:cs="Times New Roman"/>
          <w:color w:val="auto"/>
          <w:sz w:val="32"/>
          <w:szCs w:val="32"/>
          <w:highlight w:val="none"/>
        </w:rPr>
        <w:t>补贴政策的资格，且本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同意政策实施部门和服务平台可进一步采取包括但不限于以下任一或同时采取以下全部措施，追究本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相关违约责任：</w:t>
      </w:r>
    </w:p>
    <w:p w14:paraId="37B84CD5">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（1）要求本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全额退还经政策实施部门和服务平台认定的违约行为所涉</w:t>
      </w:r>
      <w:r>
        <w:rPr>
          <w:rFonts w:hint="eastAsia" w:ascii="Times New Roman" w:hAnsi="Times New Roman" w:eastAsia="方正仿宋_GBK" w:cs="Times New Roman"/>
          <w:color w:val="auto"/>
          <w:sz w:val="32"/>
          <w:szCs w:val="32"/>
          <w:highlight w:val="none"/>
          <w:lang w:val="en-US" w:eastAsia="zh-CN"/>
        </w:rPr>
        <w:t>家居</w:t>
      </w:r>
      <w:r>
        <w:rPr>
          <w:rFonts w:ascii="Times New Roman" w:hAnsi="Times New Roman" w:eastAsia="方正仿宋_GBK" w:cs="Times New Roman"/>
          <w:color w:val="auto"/>
          <w:sz w:val="32"/>
          <w:szCs w:val="32"/>
          <w:highlight w:val="none"/>
        </w:rPr>
        <w:t>补贴资金。</w:t>
      </w:r>
    </w:p>
    <w:p w14:paraId="1072FEF7">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（2）要求本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赔偿违约行为所导致的一切损失。</w:t>
      </w:r>
    </w:p>
    <w:p w14:paraId="51C4F45F">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（3）政策实施部门有权会同相关部门将本</w:t>
      </w:r>
      <w:r>
        <w:rPr>
          <w:rFonts w:hint="eastAsia" w:ascii="Times New Roman" w:hAnsi="Times New Roman" w:eastAsia="方正仿宋_GBK" w:cs="Times New Roman"/>
          <w:color w:val="auto"/>
          <w:sz w:val="32"/>
          <w:szCs w:val="32"/>
          <w:highlight w:val="none"/>
          <w:lang w:val="en-US" w:eastAsia="zh-CN"/>
        </w:rPr>
        <w:t>单位</w:t>
      </w:r>
      <w:r>
        <w:rPr>
          <w:rFonts w:ascii="Times New Roman" w:hAnsi="Times New Roman" w:eastAsia="方正仿宋_GBK" w:cs="Times New Roman"/>
          <w:color w:val="auto"/>
          <w:sz w:val="32"/>
          <w:szCs w:val="32"/>
          <w:highlight w:val="none"/>
        </w:rPr>
        <w:t>依法列入不诚信单位名单。</w:t>
      </w:r>
    </w:p>
    <w:p w14:paraId="1E1B4658">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特此承诺。</w:t>
      </w:r>
    </w:p>
    <w:p w14:paraId="52E2D61A">
      <w:pPr>
        <w:ind w:firstLine="645"/>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w:t>
      </w:r>
      <w:r>
        <w:rPr>
          <w:rFonts w:hint="eastAsia" w:ascii="Times New Roman" w:hAnsi="Times New Roman" w:eastAsia="方正仿宋_GBK" w:cs="Times New Roman"/>
          <w:color w:val="auto"/>
          <w:sz w:val="32"/>
          <w:szCs w:val="32"/>
          <w:highlight w:val="none"/>
          <w:lang w:val="en-US" w:eastAsia="zh-CN"/>
        </w:rPr>
        <w:t>承诺</w:t>
      </w:r>
      <w:r>
        <w:rPr>
          <w:rFonts w:ascii="Times New Roman" w:hAnsi="Times New Roman" w:eastAsia="方正仿宋_GBK" w:cs="Times New Roman"/>
          <w:color w:val="auto"/>
          <w:sz w:val="32"/>
          <w:szCs w:val="32"/>
          <w:highlight w:val="none"/>
        </w:rPr>
        <w:t>自落款之日起生效，并持续有效。</w:t>
      </w:r>
    </w:p>
    <w:p w14:paraId="46FCD8C4">
      <w:pPr>
        <w:ind w:firstLine="645"/>
        <w:rPr>
          <w:rFonts w:ascii="Times New Roman" w:hAnsi="Times New Roman" w:eastAsia="方正仿宋_GBK" w:cs="Times New Roman"/>
          <w:color w:val="auto"/>
          <w:sz w:val="32"/>
          <w:szCs w:val="32"/>
          <w:highlight w:val="none"/>
        </w:rPr>
      </w:pPr>
    </w:p>
    <w:p w14:paraId="14557A2E">
      <w:pPr>
        <w:ind w:firstLine="4499" w:firstLineChars="1406"/>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单位名称（盖章）：             </w:t>
      </w:r>
    </w:p>
    <w:p w14:paraId="61024E5E">
      <w:pPr>
        <w:ind w:firstLine="645"/>
        <w:rPr>
          <w:rFonts w:hint="eastAsia"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rPr>
        <w:t xml:space="preserve">  </w:t>
      </w:r>
    </w:p>
    <w:p w14:paraId="33205C1F">
      <w:pPr>
        <w:ind w:firstLine="4499" w:firstLineChars="1406"/>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法定代表人（签字）： </w:t>
      </w:r>
    </w:p>
    <w:p w14:paraId="08FFF3CC">
      <w:pPr>
        <w:ind w:firstLine="645"/>
        <w:rPr>
          <w:rFonts w:hint="eastAsia"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rPr>
        <w:t>　　</w:t>
      </w:r>
    </w:p>
    <w:p w14:paraId="0F5442BD">
      <w:pPr>
        <w:ind w:firstLine="4480" w:firstLineChars="14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2024年</w:t>
      </w:r>
      <w:r>
        <w:rPr>
          <w:rFonts w:hint="eastAsia" w:ascii="Times New Roman" w:hAnsi="Times New Roman" w:eastAsia="方正仿宋_GBK" w:cs="Times New Roman"/>
          <w:color w:val="auto"/>
          <w:sz w:val="32"/>
          <w:szCs w:val="32"/>
          <w:highlight w:val="none"/>
          <w:lang w:val="en-US" w:eastAsia="zh-CN"/>
        </w:rPr>
        <w:t>12</w:t>
      </w:r>
      <w:r>
        <w:rPr>
          <w:rFonts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 xml:space="preserve"> </w:t>
      </w:r>
      <w:r>
        <w:rPr>
          <w:rFonts w:ascii="Times New Roman" w:hAnsi="Times New Roman" w:eastAsia="方正仿宋_GBK" w:cs="Times New Roman"/>
          <w:color w:val="auto"/>
          <w:sz w:val="32"/>
          <w:szCs w:val="32"/>
          <w:highlight w:val="none"/>
        </w:rPr>
        <w:t xml:space="preserve">日    </w:t>
      </w:r>
    </w:p>
    <w:p w14:paraId="16E34736">
      <w:pPr>
        <w:rPr>
          <w:rFonts w:ascii="Times New Roman" w:hAnsi="Times New Roman" w:eastAsia="方正仿宋_GBK"/>
          <w:color w:val="auto"/>
          <w:highlight w:val="none"/>
        </w:rPr>
      </w:pPr>
    </w:p>
    <w:p w14:paraId="2827B78A">
      <w:pPr>
        <w:rPr>
          <w:color w:val="auto"/>
          <w:highlight w:val="none"/>
        </w:rPr>
      </w:pPr>
    </w:p>
    <w:p w14:paraId="30D26A9C">
      <w:pPr>
        <w:rPr>
          <w:color w:val="auto"/>
          <w:highlight w:val="none"/>
        </w:rPr>
      </w:pPr>
    </w:p>
    <w:p w14:paraId="3968CECD">
      <w:pPr>
        <w:rPr>
          <w:color w:val="auto"/>
          <w:highlight w:val="none"/>
        </w:rPr>
      </w:pPr>
    </w:p>
    <w:p w14:paraId="699E4706">
      <w:pPr>
        <w:rPr>
          <w:color w:val="auto"/>
          <w:highlight w:val="none"/>
        </w:rPr>
      </w:pPr>
    </w:p>
    <w:p w14:paraId="719986E5">
      <w:pPr>
        <w:rPr>
          <w:color w:val="auto"/>
          <w:highlight w:val="none"/>
        </w:rPr>
      </w:pPr>
    </w:p>
    <w:p w14:paraId="3FD65B9D">
      <w:pPr>
        <w:rPr>
          <w:color w:val="auto"/>
          <w:highlight w:val="none"/>
        </w:rPr>
      </w:pPr>
    </w:p>
    <w:p w14:paraId="4206DDDF">
      <w:pPr>
        <w:rPr>
          <w:color w:val="auto"/>
        </w:rPr>
      </w:pPr>
    </w:p>
    <w:p w14:paraId="72F22B6B">
      <w:pPr>
        <w:rPr>
          <w:color w:val="auto"/>
        </w:rPr>
      </w:pPr>
    </w:p>
    <w:p w14:paraId="18E74C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8" w:lineRule="atLeast"/>
        <w:ind w:left="0" w:right="0" w:firstLine="420"/>
        <w:jc w:val="both"/>
        <w:rPr>
          <w:rFonts w:hint="eastAsia" w:ascii="华文仿宋" w:hAnsi="华文仿宋" w:eastAsia="华文仿宋" w:cs="华文仿宋"/>
          <w:i w:val="0"/>
          <w:iCs w:val="0"/>
          <w:caps w:val="0"/>
          <w:color w:val="auto"/>
          <w:spacing w:val="0"/>
          <w:sz w:val="32"/>
          <w:szCs w:val="32"/>
          <w:shd w:val="clear" w:color="auto" w:fill="FFFFFF"/>
        </w:rPr>
      </w:pPr>
    </w:p>
    <w:p w14:paraId="446F1B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8" w:lineRule="atLeast"/>
        <w:ind w:left="0" w:right="0" w:firstLine="420"/>
        <w:jc w:val="both"/>
        <w:rPr>
          <w:rFonts w:hint="eastAsia" w:ascii="华文仿宋" w:hAnsi="华文仿宋" w:eastAsia="华文仿宋" w:cs="华文仿宋"/>
          <w:i w:val="0"/>
          <w:iCs w:val="0"/>
          <w:caps w:val="0"/>
          <w:color w:val="auto"/>
          <w:spacing w:val="0"/>
          <w:sz w:val="32"/>
          <w:szCs w:val="32"/>
          <w:shd w:val="clear" w:color="auto" w:fill="FFFFFF"/>
        </w:rPr>
      </w:pPr>
    </w:p>
    <w:p w14:paraId="579A7D07">
      <w:pPr>
        <w:rPr>
          <w:rFonts w:hint="eastAsia" w:ascii="华文仿宋" w:hAnsi="华文仿宋" w:eastAsia="华文仿宋" w:cs="华文仿宋"/>
          <w:color w:val="auto"/>
          <w:sz w:val="32"/>
          <w:szCs w:val="32"/>
          <w:lang w:eastAsia="zh-CN"/>
        </w:rPr>
      </w:pPr>
    </w:p>
    <w:p w14:paraId="47DB9886">
      <w:bookmarkStart w:id="0" w:name="_GoBack"/>
      <w:bookmarkEnd w:id="0"/>
    </w:p>
    <w:sectPr>
      <w:footerReference r:id="rId3" w:type="default"/>
      <w:pgSz w:w="11906" w:h="16838"/>
      <w:pgMar w:top="1984" w:right="1531" w:bottom="1701"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32F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D656E">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05D656E">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64C1B"/>
    <w:rsid w:val="2716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1680"/>
    </w:p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2024-12-03T09:07:00Z</dcterms:created>
  <dc:creator>asus</dc:creator>
  <cp:lastModifiedBy>asus</cp:lastModifiedBy>
  <dcterms:modified xsi:type="dcterms:W3CDTF">2024-12-03T09:07:35Z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484AAB30BFBD48AB85080C501CA379D9_11</vt:lpwstr>
  </property>
</Properties>
</file>