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240" w:lineRule="auto"/>
        <w:jc w:val="left"/>
        <w:rPr>
          <w:rFonts w:hint="eastAsia" w:ascii="方正黑体_GBK" w:eastAsia="方正黑体_GBK" w:cs="方正黑体_GBK"/>
          <w:color w:val="auto"/>
          <w:sz w:val="32"/>
          <w:szCs w:val="32"/>
          <w:lang w:bidi="ar-SA"/>
        </w:rPr>
      </w:pPr>
      <w:r>
        <w:rPr>
          <w:rFonts w:hint="eastAsia" w:ascii="方正黑体_GBK" w:eastAsia="方正黑体_GBK" w:cs="方正黑体_GBK"/>
          <w:color w:val="auto"/>
          <w:sz w:val="32"/>
          <w:szCs w:val="32"/>
          <w:lang w:bidi="ar-SA"/>
        </w:rPr>
        <w:t>附件</w:t>
      </w:r>
      <w:r>
        <w:rPr>
          <w:rFonts w:hint="eastAsia" w:ascii="方正黑体_GBK" w:eastAsia="方正黑体_GBK" w:cs="方正黑体_GBK"/>
          <w:color w:val="auto"/>
          <w:sz w:val="32"/>
          <w:szCs w:val="32"/>
          <w:lang w:val="en-US" w:eastAsia="zh-CN" w:bidi="ar-SA"/>
        </w:rPr>
        <w:t>1</w:t>
      </w:r>
    </w:p>
    <w:p>
      <w:pPr>
        <w:pStyle w:val="5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eastAsia="方正小标宋_GBK" w:cs="方正小标宋_GBK"/>
          <w:color w:val="000000"/>
          <w:spacing w:val="0"/>
          <w:w w:val="100"/>
          <w:position w:val="0"/>
          <w:sz w:val="44"/>
          <w:szCs w:val="44"/>
          <w:lang w:bidi="ar-SA"/>
        </w:rPr>
      </w:pPr>
      <w:r>
        <w:rPr>
          <w:rFonts w:hint="eastAsia" w:ascii="方正小标宋_GBK" w:eastAsia="方正小标宋_GBK" w:cs="方正小标宋_GBK"/>
          <w:color w:val="000000"/>
          <w:spacing w:val="0"/>
          <w:w w:val="100"/>
          <w:position w:val="0"/>
          <w:sz w:val="44"/>
          <w:szCs w:val="44"/>
          <w:lang w:val="zh-CN" w:eastAsia="zh-CN" w:bidi="zh-CN"/>
        </w:rPr>
        <w:t>“十</w:t>
      </w:r>
      <w:r>
        <w:rPr>
          <w:rFonts w:hint="eastAsia" w:ascii="方正小标宋_GBK" w:eastAsia="方正小标宋_GBK" w:cs="方正小标宋_GBK"/>
          <w:color w:val="000000"/>
          <w:spacing w:val="0"/>
          <w:w w:val="100"/>
          <w:position w:val="0"/>
          <w:sz w:val="44"/>
          <w:szCs w:val="44"/>
          <w:lang w:bidi="ar-SA"/>
        </w:rPr>
        <w:t>四五”时期区县</w:t>
      </w:r>
      <w:r>
        <w:rPr>
          <w:rFonts w:hint="eastAsia" w:ascii="方正小标宋_GBK" w:eastAsia="方正小标宋_GBK" w:cs="方正小标宋_GBK"/>
          <w:color w:val="000000"/>
          <w:spacing w:val="0"/>
          <w:w w:val="100"/>
          <w:position w:val="0"/>
          <w:sz w:val="44"/>
          <w:szCs w:val="44"/>
          <w:lang w:eastAsia="zh-CN" w:bidi="ar-SA"/>
        </w:rPr>
        <w:t>县域商业</w:t>
      </w:r>
      <w:r>
        <w:rPr>
          <w:rFonts w:hint="eastAsia" w:ascii="方正小标宋_GBK" w:eastAsia="方正小标宋_GBK" w:cs="方正小标宋_GBK"/>
          <w:color w:val="000000"/>
          <w:spacing w:val="0"/>
          <w:w w:val="100"/>
          <w:position w:val="0"/>
          <w:sz w:val="44"/>
          <w:szCs w:val="44"/>
          <w:lang w:bidi="ar-SA"/>
        </w:rPr>
        <w:t>体系建设</w:t>
      </w:r>
    </w:p>
    <w:p>
      <w:pPr>
        <w:pStyle w:val="5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sz w:val="44"/>
          <w:szCs w:val="44"/>
        </w:rPr>
      </w:pPr>
      <w:r>
        <w:rPr>
          <w:rFonts w:hint="eastAsia" w:ascii="方正小标宋_GBK" w:eastAsia="方正小标宋_GBK" w:cs="方正小标宋_GBK"/>
          <w:color w:val="000000"/>
          <w:spacing w:val="0"/>
          <w:w w:val="100"/>
          <w:position w:val="0"/>
          <w:sz w:val="44"/>
          <w:szCs w:val="44"/>
          <w:lang w:bidi="ar-SA"/>
        </w:rPr>
        <w:t>工作目标</w:t>
      </w:r>
    </w:p>
    <w:tbl>
      <w:tblPr>
        <w:tblStyle w:val="3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567"/>
        <w:gridCol w:w="1289"/>
        <w:gridCol w:w="2524"/>
        <w:gridCol w:w="1529"/>
        <w:gridCol w:w="2305"/>
        <w:gridCol w:w="1733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78" w:hRule="exact"/>
          <w:jc w:val="center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黑体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黑体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序号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黑体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黑体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类</w:t>
            </w:r>
            <w:r>
              <w:rPr>
                <w:rFonts w:hint="default" w:ascii="Times New Roman" w:hAnsi="Times New Roman" w:eastAsia="方正黑体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val="en-US" w:eastAsia="zh-CN" w:bidi="ar-SA"/>
              </w:rPr>
              <w:t xml:space="preserve"> </w:t>
            </w:r>
            <w:r>
              <w:rPr>
                <w:rFonts w:hint="default" w:ascii="Times New Roman" w:hAnsi="Times New Roman" w:eastAsia="方正黑体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型</w:t>
            </w:r>
          </w:p>
        </w:tc>
        <w:tc>
          <w:tcPr>
            <w:tcW w:w="2524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黑体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黑体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重点工作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黑体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黑体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数量指标</w:t>
            </w:r>
          </w:p>
        </w:tc>
        <w:tc>
          <w:tcPr>
            <w:tcW w:w="2305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黑体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黑体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主要功能</w:t>
            </w:r>
          </w:p>
        </w:tc>
        <w:tc>
          <w:tcPr>
            <w:tcW w:w="1733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黑体_GBK" w:cs="Times New Roman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黑体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eastAsia="zh-CN" w:bidi="ar-SA"/>
              </w:rPr>
              <w:t>责任分工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37" w:hRule="exact"/>
          <w:jc w:val="center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18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1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县城商业网点</w:t>
            </w:r>
          </w:p>
        </w:tc>
        <w:tc>
          <w:tcPr>
            <w:tcW w:w="2524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改造升级城区商圈（商业集聚区）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val="zh-CN" w:eastAsia="zh-CN" w:bidi="zh-CN"/>
              </w:rPr>
              <w:t>≥1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个</w:t>
            </w:r>
          </w:p>
        </w:tc>
        <w:tc>
          <w:tcPr>
            <w:tcW w:w="2305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推动消费业态集聚，满足县域居民大件、高端消费</w:t>
            </w:r>
          </w:p>
        </w:tc>
        <w:tc>
          <w:tcPr>
            <w:tcW w:w="1733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市商务委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各区县有关部门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33" w:hRule="exact"/>
          <w:jc w:val="center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18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2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乡镇商业网点</w:t>
            </w:r>
          </w:p>
        </w:tc>
        <w:tc>
          <w:tcPr>
            <w:tcW w:w="2524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建设改造乡镇商贸中心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具备条件的乡镇覆盖率达100%</w:t>
            </w:r>
          </w:p>
        </w:tc>
        <w:tc>
          <w:tcPr>
            <w:tcW w:w="2305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满足乡镇居民实用消费和一般生活服务需求</w:t>
            </w:r>
          </w:p>
        </w:tc>
        <w:tc>
          <w:tcPr>
            <w:tcW w:w="1733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市商务委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各区县有关部门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22" w:hRule="exact"/>
          <w:jc w:val="center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18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3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村级商业网点</w:t>
            </w:r>
          </w:p>
        </w:tc>
        <w:tc>
          <w:tcPr>
            <w:tcW w:w="2524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建设改造村级便民商店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具备条件的行政村覆盖率达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00%</w:t>
            </w:r>
          </w:p>
        </w:tc>
        <w:tc>
          <w:tcPr>
            <w:tcW w:w="2305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满足村民就近、便利消费</w:t>
            </w:r>
          </w:p>
        </w:tc>
        <w:tc>
          <w:tcPr>
            <w:tcW w:w="1733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市商务委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各区县有关部门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45" w:hRule="exact"/>
          <w:jc w:val="center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18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4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县域物流枢纽</w:t>
            </w:r>
          </w:p>
        </w:tc>
        <w:tc>
          <w:tcPr>
            <w:tcW w:w="2524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建设改造县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eastAsia="zh-CN" w:bidi="ar-SA"/>
              </w:rPr>
              <w:t>（区）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级物流配送中心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val="zh-CN" w:eastAsia="zh-CN" w:bidi="zh-CN"/>
              </w:rPr>
              <w:t>≥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1个</w:t>
            </w:r>
          </w:p>
        </w:tc>
        <w:tc>
          <w:tcPr>
            <w:tcW w:w="2305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物流配送覆盖县城和主要乡镇村</w:t>
            </w:r>
          </w:p>
        </w:tc>
        <w:tc>
          <w:tcPr>
            <w:tcW w:w="1733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  <w:t>市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交通局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各区县有关部门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72" w:hRule="exact"/>
          <w:jc w:val="center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18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5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乡村末端物流</w:t>
            </w:r>
          </w:p>
        </w:tc>
        <w:tc>
          <w:tcPr>
            <w:tcW w:w="2524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乡村快递通达率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基本实现乡乡（镇）有网点、村村有服务</w:t>
            </w:r>
          </w:p>
        </w:tc>
        <w:tc>
          <w:tcPr>
            <w:tcW w:w="2305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建设改造一批乡镇邮政、快递网点和村级寄递物流综合服务站，提供消费品下乡、农产品进城寄递服务</w:t>
            </w:r>
          </w:p>
        </w:tc>
        <w:tc>
          <w:tcPr>
            <w:tcW w:w="1733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  <w:t>市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邮政管理局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各区县有关部门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051" w:hRule="exact"/>
          <w:jc w:val="center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18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6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物流资源整合</w:t>
            </w:r>
          </w:p>
        </w:tc>
        <w:tc>
          <w:tcPr>
            <w:tcW w:w="2524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引导县域邮政、供销、快递、交通运输、商贸物流等资源整合，发展共同配送★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eastAsia="zh-CN" w:bidi="ar-SA"/>
              </w:rPr>
              <w:t>辖区内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具备条件的乡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eastAsia="zh-CN" w:bidi="ar-SA"/>
              </w:rPr>
              <w:t>镇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、村30%以上的物流快递实现统一分拣、配送</w:t>
            </w:r>
          </w:p>
        </w:tc>
        <w:tc>
          <w:tcPr>
            <w:tcW w:w="2305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主要快递企业等市场化合作，实现信息、配送等资源整合，开展共同配送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eastAsia="zh-CN" w:bidi="ar-SA"/>
              </w:rPr>
              <w:t>。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具备条件的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eastAsia="zh-CN" w:bidi="ar-SA"/>
              </w:rPr>
              <w:t>区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县初步实现商贸物流、电商快递、农产品上行等同类物流标准商品的统仓共配</w:t>
            </w:r>
          </w:p>
        </w:tc>
        <w:tc>
          <w:tcPr>
            <w:tcW w:w="1733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  <w:t>市</w:t>
            </w: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交通局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市邮政管理局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市供销合作社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市农业农村委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市商务委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各区县有关部门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226" w:hRule="exact"/>
          <w:jc w:val="center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18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7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农村电子商务</w:t>
            </w:r>
          </w:p>
        </w:tc>
        <w:tc>
          <w:tcPr>
            <w:tcW w:w="2524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扩大农村电子商务覆盖面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农村电商服务对具备条件的行政村100%覆盖</w:t>
            </w:r>
          </w:p>
        </w:tc>
        <w:tc>
          <w:tcPr>
            <w:tcW w:w="2305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shd w:val="clear" w:color="auto" w:fill="auto"/>
              <w:tabs>
                <w:tab w:val="left" w:pos="23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对有条件的村网购商品能够配送，农产品上行能力与效率显著提升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shd w:val="clear" w:color="auto" w:fill="auto"/>
              <w:tabs>
                <w:tab w:val="left" w:pos="2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统筹邮政、供销、电商、益农信息等基层网点，健全县乡村三级农产品网络销售服务体系</w:t>
            </w:r>
          </w:p>
        </w:tc>
        <w:tc>
          <w:tcPr>
            <w:tcW w:w="1733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市商务委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市邮政管理局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市供销合作社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市农业农村委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各区县有关部门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97" w:hRule="exact"/>
          <w:jc w:val="center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18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8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农产品流通</w:t>
            </w:r>
          </w:p>
        </w:tc>
        <w:tc>
          <w:tcPr>
            <w:tcW w:w="25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农产品冷链物流设施建设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shd w:val="clear" w:color="auto" w:fill="auto"/>
              <w:tabs>
                <w:tab w:val="left" w:pos="21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产地低温处理率提高到30%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shd w:val="clear" w:color="auto" w:fill="auto"/>
              <w:tabs>
                <w:tab w:val="left" w:pos="22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每县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eastAsia="zh-CN" w:bidi="ar-SA"/>
              </w:rPr>
              <w:t>（区）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至少建设改造一个农产品集配中心</w:t>
            </w:r>
          </w:p>
        </w:tc>
        <w:tc>
          <w:tcPr>
            <w:tcW w:w="2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在农产品集中的产地建立集初加工、冷藏保鲜仓储、集中采购和跨区域配送能力的农产品产地集配中心</w:t>
            </w:r>
          </w:p>
        </w:tc>
        <w:tc>
          <w:tcPr>
            <w:tcW w:w="17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  <w:t>市政府口岸物流办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市农业农村委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市供销合作社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市商务委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各区县有关部门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14" w:hRule="exact"/>
          <w:jc w:val="center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9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农产品流通</w:t>
            </w:r>
          </w:p>
        </w:tc>
        <w:tc>
          <w:tcPr>
            <w:tcW w:w="25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农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eastAsia="zh-CN" w:bidi="ar-SA"/>
              </w:rPr>
              <w:t>（集）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贸市场标准化升级改造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主要乡镇至少改造1个农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eastAsia="zh-CN" w:bidi="ar-SA"/>
              </w:rPr>
              <w:t>（集）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贸市场</w:t>
            </w:r>
          </w:p>
        </w:tc>
        <w:tc>
          <w:tcPr>
            <w:tcW w:w="2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7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  <w:t>市商务委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各区县有关部门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84" w:hRule="exact"/>
          <w:jc w:val="center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16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10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农产品流通</w:t>
            </w:r>
          </w:p>
        </w:tc>
        <w:tc>
          <w:tcPr>
            <w:tcW w:w="25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农产品市场公益性保障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进一步提升主要农产品市场公益性，增强保供稳价能力</w:t>
            </w:r>
          </w:p>
        </w:tc>
        <w:tc>
          <w:tcPr>
            <w:tcW w:w="17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  <w:t>市商务委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各区县有关部门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845" w:hRule="exact"/>
          <w:jc w:val="center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16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11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农村市场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主体培育</w:t>
            </w:r>
          </w:p>
        </w:tc>
        <w:tc>
          <w:tcPr>
            <w:tcW w:w="25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shd w:val="clear" w:color="auto" w:fill="auto"/>
              <w:tabs>
                <w:tab w:val="left" w:pos="23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本地商贸流通企业转型升级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shd w:val="clear" w:color="auto" w:fill="auto"/>
              <w:tabs>
                <w:tab w:val="left" w:pos="24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培育农产品产业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eastAsia="zh-CN" w:bidi="ar-SA"/>
              </w:rPr>
              <w:t>化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运营主体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shd w:val="clear" w:color="auto" w:fill="auto"/>
              <w:tabs>
                <w:tab w:val="left" w:pos="21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每县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eastAsia="zh-CN" w:bidi="ar-SA"/>
              </w:rPr>
              <w:t>（区）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实现1个以上商贸流通龙头企业转型升级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shd w:val="clear" w:color="auto" w:fill="auto"/>
              <w:tabs>
                <w:tab w:val="left" w:pos="21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每县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eastAsia="zh-CN" w:bidi="ar-SA"/>
              </w:rPr>
              <w:t>（区）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培育至少1个农产品产业化运营主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eastAsia="zh-CN" w:bidi="ar-SA"/>
              </w:rPr>
              <w:t>体</w:t>
            </w:r>
          </w:p>
        </w:tc>
        <w:tc>
          <w:tcPr>
            <w:tcW w:w="2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shd w:val="clear" w:color="auto" w:fill="auto"/>
              <w:tabs>
                <w:tab w:val="left" w:pos="24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主要商贸流通企业完成数字化、连锁化改造，初步建立供应链体系，引领县域商业发展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shd w:val="clear" w:color="auto" w:fill="auto"/>
              <w:tabs>
                <w:tab w:val="left" w:pos="23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通过运营主体引导带动产业链上下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eastAsia="zh-CN" w:bidi="ar-SA"/>
              </w:rPr>
              <w:t>游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各类主体形成协同高效、利益共享的农产品供应链体系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eastAsia="zh-CN" w:bidi="ar-SA"/>
              </w:rPr>
              <w:t>；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根据需求及时调整生产和供给，合理制定销售计划</w:t>
            </w:r>
          </w:p>
        </w:tc>
        <w:tc>
          <w:tcPr>
            <w:tcW w:w="17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  <w:t>市商务委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  <w:t>市农业农村委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  <w:t>市供销合作社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各区县有关部门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254" w:hRule="exact"/>
          <w:jc w:val="center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16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12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  <w:t>农村食品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  <w:t>和农产品</w:t>
            </w: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  <w:t>安全</w:t>
            </w:r>
          </w:p>
        </w:tc>
        <w:tc>
          <w:tcPr>
            <w:tcW w:w="25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shd w:val="clear" w:color="auto" w:fill="auto"/>
              <w:tabs>
                <w:tab w:val="left" w:pos="2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eastAsia="zh-CN" w:bidi="ar-SA"/>
              </w:rPr>
              <w:t>加强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农村食品安全监管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6"/>
              </w:numPr>
              <w:shd w:val="clear" w:color="auto" w:fill="auto"/>
              <w:tabs>
                <w:tab w:val="left" w:pos="23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both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加强农产品质量安全监管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shd w:val="clear" w:color="auto" w:fill="auto"/>
              <w:tabs>
                <w:tab w:val="left" w:pos="22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主要食品销售企业100%实现食品经营风险分级动态管理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7"/>
              </w:numPr>
              <w:shd w:val="clear" w:color="auto" w:fill="auto"/>
              <w:tabs>
                <w:tab w:val="left" w:pos="22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推进农产品质量安全追溯体系建设</w:t>
            </w:r>
          </w:p>
        </w:tc>
        <w:tc>
          <w:tcPr>
            <w:tcW w:w="2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支持运营主体试点开展农产品质量安全全程追溯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eastAsia="zh-CN" w:bidi="ar-SA"/>
              </w:rPr>
              <w:t>；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加强对农产品供应链全链条的质量安全监管和检测</w:t>
            </w:r>
          </w:p>
        </w:tc>
        <w:tc>
          <w:tcPr>
            <w:tcW w:w="17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  <w:t>市市场监管局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  <w:t>市农业农村委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各区县有关部门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83" w:hRule="exact"/>
          <w:jc w:val="center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16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13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县域商业规划</w:t>
            </w:r>
          </w:p>
        </w:tc>
        <w:tc>
          <w:tcPr>
            <w:tcW w:w="25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编制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eastAsia="zh-CN" w:bidi="ar-SA"/>
              </w:rPr>
              <w:t>农村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商业网点专项规划，或纳入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eastAsia="zh-CN" w:bidi="ar-SA"/>
              </w:rPr>
              <w:t>本地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商业网点规划重要内容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hanging="18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与国土空间规划“一张图”叠加</w:t>
            </w:r>
          </w:p>
        </w:tc>
        <w:tc>
          <w:tcPr>
            <w:tcW w:w="17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各区县有关部门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999" w:hRule="exact"/>
          <w:jc w:val="center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16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14</w:t>
            </w:r>
          </w:p>
        </w:tc>
        <w:tc>
          <w:tcPr>
            <w:tcW w:w="12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县城消费统计</w:t>
            </w:r>
          </w:p>
        </w:tc>
        <w:tc>
          <w:tcPr>
            <w:tcW w:w="25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shd w:val="clear" w:color="auto" w:fill="auto"/>
              <w:tabs>
                <w:tab w:val="left" w:pos="23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加强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eastAsia="zh-CN" w:bidi="ar-SA"/>
              </w:rPr>
              <w:t>区县</w:t>
            </w: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消费统计体系建设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8"/>
              </w:numPr>
              <w:shd w:val="clear" w:color="auto" w:fill="auto"/>
              <w:tabs>
                <w:tab w:val="left" w:pos="2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建立农村地区农产品生产加工流通统计体系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shd w:val="clear" w:color="auto" w:fill="auto"/>
              <w:tabs>
                <w:tab w:val="left" w:pos="24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sz w:val="21"/>
                <w:szCs w:val="21"/>
                <w:lang w:bidi="ar-SA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完善县域消费品零售额、网络零售额、规模以上商贸流通企业等统计监测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numPr>
                <w:ilvl w:val="0"/>
                <w:numId w:val="9"/>
              </w:numPr>
              <w:shd w:val="clear" w:color="auto" w:fill="auto"/>
              <w:tabs>
                <w:tab w:val="left" w:pos="22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left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TW" w:bidi="zh-TW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pacing w:val="0"/>
                <w:w w:val="100"/>
                <w:position w:val="0"/>
                <w:sz w:val="21"/>
                <w:szCs w:val="21"/>
                <w:lang w:bidi="ar-SA"/>
              </w:rPr>
              <w:t>建立大宗农产品流通、农产品网络零售等统计指标</w:t>
            </w:r>
          </w:p>
        </w:tc>
        <w:tc>
          <w:tcPr>
            <w:tcW w:w="17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  <w:t>市商务委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</w:pPr>
            <w:r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  <w:t>市农业农村委</w:t>
            </w:r>
          </w:p>
          <w:p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auto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/>
              <w:jc w:val="center"/>
              <w:textAlignment w:val="auto"/>
              <w:outlineLvl w:val="9"/>
              <w:rPr>
                <w:rFonts w:hint="default" w:ascii="Times New Roman" w:hAnsi="Times New Roman" w:eastAsia="方正仿宋_GBK" w:cs="Times New Roman"/>
                <w:kern w:val="2"/>
                <w:sz w:val="21"/>
                <w:szCs w:val="21"/>
                <w:u w:val="none"/>
                <w:shd w:val="clear" w:color="auto" w:fill="auto"/>
                <w:lang w:val="zh-TW" w:eastAsia="zh-CN" w:bidi="zh-TW"/>
              </w:rPr>
            </w:pPr>
            <w:r>
              <w:rPr>
                <w:rFonts w:hint="default" w:ascii="Times New Roman" w:hAnsi="Times New Roman" w:eastAsia="方正仿宋_GBK" w:cs="Times New Roman"/>
                <w:sz w:val="21"/>
                <w:szCs w:val="21"/>
                <w:lang w:eastAsia="zh-CN" w:bidi="ar-SA"/>
              </w:rPr>
              <w:t>各区县有关部门</w:t>
            </w:r>
          </w:p>
        </w:tc>
      </w:tr>
    </w:tbl>
    <w:p>
      <w:pPr>
        <w:widowControl w:val="0"/>
        <w:spacing w:line="1" w:lineRule="exact"/>
        <w:rPr>
          <w:rFonts w:hint="eastAsia" w:ascii="方正仿宋_GBK" w:eastAsia="方正仿宋_GBK" w:cs="方正仿宋_GBK"/>
          <w:sz w:val="18"/>
          <w:szCs w:val="18"/>
          <w:lang w:bidi="ar-SA"/>
        </w:rPr>
      </w:pPr>
    </w:p>
    <w:p>
      <w:pPr>
        <w:pStyle w:val="8"/>
        <w:keepNext w:val="0"/>
        <w:keepLines w:val="0"/>
        <w:widowControl w:val="0"/>
        <w:spacing w:line="355" w:lineRule="exact"/>
        <w:ind w:left="0" w:firstLine="0"/>
        <w:jc w:val="left"/>
        <w:rPr>
          <w:rFonts w:hint="eastAsia" w:ascii="方正仿宋_GBK" w:hAnsi="方正仿宋_GBK" w:eastAsia="方正仿宋_GBK" w:cs="方正仿宋_GBK"/>
          <w:sz w:val="24"/>
          <w:szCs w:val="24"/>
          <w:lang w:eastAsia="zh-CN"/>
        </w:rPr>
      </w:pPr>
      <w:r>
        <w:rPr>
          <w:rFonts w:hint="eastAsia" w:ascii="方正仿宋_GBK" w:hAnsi="方正仿宋_GBK" w:eastAsia="方正仿宋_GBK" w:cs="方正仿宋_GBK"/>
          <w:sz w:val="24"/>
          <w:szCs w:val="24"/>
          <w:lang w:val="en-US" w:eastAsia="zh-CN"/>
        </w:rPr>
        <w:tab/>
      </w:r>
      <w:r>
        <w:rPr>
          <w:rFonts w:hint="eastAsia" w:ascii="方正仿宋_GBK" w:hAnsi="方正仿宋_GBK" w:eastAsia="方正仿宋_GBK" w:cs="方正仿宋_GBK"/>
          <w:color w:val="000000"/>
          <w:spacing w:val="0"/>
          <w:w w:val="100"/>
          <w:position w:val="0"/>
          <w:sz w:val="24"/>
          <w:szCs w:val="24"/>
        </w:rPr>
        <w:t>注：★共同配送作为物流整合的一种创新模式，主要适用于行业集中度低、需求分散、末</w:t>
      </w:r>
      <w:r>
        <w:rPr>
          <w:rFonts w:hint="eastAsia" w:ascii="方正仿宋_GBK" w:hAnsi="方正仿宋_GBK" w:eastAsia="方正仿宋_GBK" w:cs="方正仿宋_GBK"/>
          <w:color w:val="000000"/>
          <w:spacing w:val="0"/>
          <w:w w:val="100"/>
          <w:position w:val="0"/>
          <w:sz w:val="24"/>
          <w:szCs w:val="24"/>
          <w:lang w:eastAsia="zh-CN"/>
        </w:rPr>
        <w:t>端</w:t>
      </w:r>
      <w:r>
        <w:rPr>
          <w:rFonts w:hint="eastAsia" w:ascii="方正仿宋_GBK" w:hAnsi="方正仿宋_GBK" w:eastAsia="方正仿宋_GBK" w:cs="方正仿宋_GBK"/>
          <w:color w:val="000000"/>
          <w:spacing w:val="0"/>
          <w:w w:val="100"/>
          <w:position w:val="0"/>
          <w:sz w:val="24"/>
          <w:szCs w:val="24"/>
        </w:rPr>
        <w:t>物流不发达的县域</w:t>
      </w:r>
      <w:r>
        <w:rPr>
          <w:rFonts w:hint="eastAsia" w:ascii="方正仿宋_GBK" w:hAnsi="方正仿宋_GBK" w:eastAsia="方正仿宋_GBK" w:cs="方正仿宋_GBK"/>
          <w:color w:val="000000"/>
          <w:spacing w:val="0"/>
          <w:w w:val="100"/>
          <w:position w:val="0"/>
          <w:sz w:val="24"/>
          <w:szCs w:val="24"/>
          <w:lang w:eastAsia="zh-CN"/>
        </w:rPr>
        <w:t>。</w:t>
      </w:r>
      <w:r>
        <w:rPr>
          <w:rFonts w:hint="eastAsia" w:ascii="方正仿宋_GBK" w:hAnsi="方正仿宋_GBK" w:eastAsia="方正仿宋_GBK" w:cs="方正仿宋_GBK"/>
          <w:color w:val="000000"/>
          <w:spacing w:val="0"/>
          <w:w w:val="100"/>
          <w:position w:val="0"/>
          <w:sz w:val="24"/>
          <w:szCs w:val="24"/>
        </w:rPr>
        <w:t>偏远、人口稀少县域可结合实际，探索适合本地的物流整合模式</w:t>
      </w:r>
      <w:r>
        <w:rPr>
          <w:rFonts w:hint="eastAsia" w:ascii="方正仿宋_GBK" w:hAnsi="方正仿宋_GBK" w:eastAsia="方正仿宋_GBK" w:cs="方正仿宋_GBK"/>
          <w:color w:val="000000"/>
          <w:spacing w:val="0"/>
          <w:w w:val="100"/>
          <w:position w:val="0"/>
          <w:sz w:val="24"/>
          <w:szCs w:val="24"/>
          <w:lang w:eastAsia="zh-CN"/>
        </w:rPr>
        <w:t>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5E306ED"/>
    <w:multiLevelType w:val="singleLevel"/>
    <w:tmpl w:val="B5E306ED"/>
    <w:lvl w:ilvl="0" w:tentative="0">
      <w:start w:val="1"/>
      <w:numFmt w:val="decimal"/>
      <w:lvlText w:val="%1."/>
      <w:lvlJc w:val="left"/>
      <w:pPr>
        <w:tabs>
          <w:tab w:val="left" w:pos="0"/>
        </w:tabs>
        <w:ind w:left="0" w:firstLine="0"/>
      </w:pPr>
      <w:rPr>
        <w:rFonts w:ascii="Times New Roman" w:hAnsi="Times New Roman"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1">
    <w:nsid w:val="BF205925"/>
    <w:multiLevelType w:val="singleLevel"/>
    <w:tmpl w:val="BF205925"/>
    <w:lvl w:ilvl="0" w:tentative="0">
      <w:start w:val="1"/>
      <w:numFmt w:val="decimal"/>
      <w:lvlText w:val="%1."/>
      <w:lvlJc w:val="left"/>
      <w:pPr>
        <w:tabs>
          <w:tab w:val="left" w:pos="0"/>
        </w:tabs>
        <w:ind w:left="0" w:firstLine="0"/>
      </w:pPr>
      <w:rPr>
        <w:rFonts w:ascii="Times New Roman" w:hAnsi="Times New Roman"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2">
    <w:nsid w:val="CF092B84"/>
    <w:multiLevelType w:val="singleLevel"/>
    <w:tmpl w:val="CF092B84"/>
    <w:lvl w:ilvl="0" w:tentative="0">
      <w:start w:val="1"/>
      <w:numFmt w:val="decimal"/>
      <w:lvlText w:val="%1."/>
      <w:lvlJc w:val="left"/>
      <w:pPr>
        <w:tabs>
          <w:tab w:val="left" w:pos="0"/>
        </w:tabs>
        <w:ind w:left="0" w:firstLine="0"/>
      </w:pPr>
      <w:rPr>
        <w:rFonts w:ascii="Times New Roman" w:hAnsi="Times New Roman"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3">
    <w:nsid w:val="0053208E"/>
    <w:multiLevelType w:val="singleLevel"/>
    <w:tmpl w:val="0053208E"/>
    <w:lvl w:ilvl="0" w:tentative="0">
      <w:start w:val="1"/>
      <w:numFmt w:val="decimal"/>
      <w:lvlText w:val="%1."/>
      <w:lvlJc w:val="left"/>
      <w:pPr>
        <w:tabs>
          <w:tab w:val="left" w:pos="0"/>
        </w:tabs>
        <w:ind w:left="0" w:firstLine="0"/>
      </w:pPr>
      <w:rPr>
        <w:rFonts w:ascii="Times New Roman" w:hAnsi="Times New Roman"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4">
    <w:nsid w:val="0248C179"/>
    <w:multiLevelType w:val="singleLevel"/>
    <w:tmpl w:val="0248C179"/>
    <w:lvl w:ilvl="0" w:tentative="0">
      <w:start w:val="1"/>
      <w:numFmt w:val="decimal"/>
      <w:lvlText w:val="%1."/>
      <w:lvlJc w:val="left"/>
      <w:pPr>
        <w:tabs>
          <w:tab w:val="left" w:pos="0"/>
        </w:tabs>
        <w:ind w:left="0" w:firstLine="0"/>
      </w:pPr>
      <w:rPr>
        <w:rFonts w:ascii="Times New Roman" w:hAnsi="Times New Roman"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5">
    <w:nsid w:val="03D62ECE"/>
    <w:multiLevelType w:val="singleLevel"/>
    <w:tmpl w:val="03D62ECE"/>
    <w:lvl w:ilvl="0" w:tentative="0">
      <w:start w:val="1"/>
      <w:numFmt w:val="decimal"/>
      <w:lvlText w:val="%1."/>
      <w:lvlJc w:val="left"/>
      <w:pPr>
        <w:tabs>
          <w:tab w:val="left" w:pos="0"/>
        </w:tabs>
        <w:ind w:left="0" w:firstLine="0"/>
      </w:pPr>
      <w:rPr>
        <w:rFonts w:ascii="Times New Roman" w:hAnsi="Times New Roman"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6">
    <w:nsid w:val="25B654F3"/>
    <w:multiLevelType w:val="singleLevel"/>
    <w:tmpl w:val="25B654F3"/>
    <w:lvl w:ilvl="0" w:tentative="0">
      <w:start w:val="1"/>
      <w:numFmt w:val="decimal"/>
      <w:lvlText w:val="%1."/>
      <w:lvlJc w:val="left"/>
      <w:pPr>
        <w:tabs>
          <w:tab w:val="left" w:pos="0"/>
        </w:tabs>
        <w:ind w:left="0" w:firstLine="0"/>
      </w:pPr>
      <w:rPr>
        <w:rFonts w:ascii="Times New Roman" w:hAnsi="Times New Roman"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7">
    <w:nsid w:val="59ADCABA"/>
    <w:multiLevelType w:val="singleLevel"/>
    <w:tmpl w:val="59ADCABA"/>
    <w:lvl w:ilvl="0" w:tentative="0">
      <w:start w:val="1"/>
      <w:numFmt w:val="decimal"/>
      <w:lvlText w:val="%1."/>
      <w:lvlJc w:val="left"/>
      <w:pPr>
        <w:tabs>
          <w:tab w:val="left" w:pos="0"/>
        </w:tabs>
        <w:ind w:left="0" w:firstLine="0"/>
      </w:pPr>
      <w:rPr>
        <w:rFonts w:ascii="Times New Roman" w:hAnsi="Times New Roman"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8">
    <w:nsid w:val="72183CF9"/>
    <w:multiLevelType w:val="singleLevel"/>
    <w:tmpl w:val="72183CF9"/>
    <w:lvl w:ilvl="0" w:tentative="0">
      <w:start w:val="1"/>
      <w:numFmt w:val="decimal"/>
      <w:lvlText w:val="%1."/>
      <w:lvlJc w:val="left"/>
      <w:pPr>
        <w:tabs>
          <w:tab w:val="left" w:pos="0"/>
        </w:tabs>
        <w:ind w:left="0" w:firstLine="0"/>
      </w:pPr>
      <w:rPr>
        <w:rFonts w:ascii="Times New Roman" w:hAnsi="Times New Roman"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20"/>
        <w:u w:val="none"/>
      </w:rPr>
    </w:lvl>
  </w:abstractNum>
  <w:num w:numId="1">
    <w:abstractNumId w:val="3"/>
  </w:num>
  <w:num w:numId="2">
    <w:abstractNumId w:val="2"/>
  </w:num>
  <w:num w:numId="3">
    <w:abstractNumId w:val="7"/>
  </w:num>
  <w:num w:numId="4">
    <w:abstractNumId w:val="1"/>
  </w:num>
  <w:num w:numId="5">
    <w:abstractNumId w:val="0"/>
  </w:num>
  <w:num w:numId="6">
    <w:abstractNumId w:val="5"/>
  </w:num>
  <w:num w:numId="7">
    <w:abstractNumId w:val="6"/>
  </w:num>
  <w:num w:numId="8">
    <w:abstractNumId w:val="8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535792"/>
    <w:rsid w:val="71535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uiPriority w:val="0"/>
    <w:pPr>
      <w:autoSpaceDE w:val="0"/>
      <w:autoSpaceDN w:val="0"/>
      <w:adjustRightInd w:val="0"/>
    </w:pPr>
    <w:rPr>
      <w:rFonts w:ascii="Arial" w:hAnsi="Arial" w:eastAsia="方正仿宋_GBK" w:cs="Arial"/>
      <w:color w:val="000000"/>
      <w:sz w:val="24"/>
      <w:szCs w:val="24"/>
      <w:lang w:val="en-US" w:eastAsia="zh-CN" w:bidi="ar-SA"/>
    </w:rPr>
  </w:style>
  <w:style w:type="paragraph" w:customStyle="1" w:styleId="5">
    <w:name w:val="Body text|1"/>
    <w:basedOn w:val="1"/>
    <w:uiPriority w:val="0"/>
    <w:pPr>
      <w:spacing w:line="480" w:lineRule="auto"/>
      <w:ind w:firstLine="400"/>
    </w:pPr>
    <w:rPr>
      <w:rFonts w:ascii="宋体" w:cs="宋体"/>
      <w:sz w:val="26"/>
      <w:szCs w:val="26"/>
      <w:lang w:val="zh-TW" w:eastAsia="zh-TW" w:bidi="zh-TW"/>
    </w:rPr>
  </w:style>
  <w:style w:type="paragraph" w:customStyle="1" w:styleId="6">
    <w:name w:val="Other|2"/>
    <w:basedOn w:val="1"/>
    <w:qFormat/>
    <w:uiPriority w:val="0"/>
    <w:pPr>
      <w:widowControl w:val="0"/>
      <w:shd w:val="clear" w:color="auto" w:fill="auto"/>
    </w:pPr>
    <w:rPr>
      <w:rFonts w:ascii="宋体" w:eastAsia="宋体" w:cs="宋体"/>
      <w:sz w:val="22"/>
      <w:szCs w:val="22"/>
      <w:u w:val="none"/>
      <w:shd w:val="clear" w:color="auto" w:fill="auto"/>
      <w:lang w:val="zh-TW" w:eastAsia="zh-TW" w:bidi="zh-TW"/>
    </w:rPr>
  </w:style>
  <w:style w:type="paragraph" w:customStyle="1" w:styleId="7">
    <w:name w:val="Other|1"/>
    <w:basedOn w:val="1"/>
    <w:qFormat/>
    <w:uiPriority w:val="0"/>
    <w:pPr>
      <w:widowControl w:val="0"/>
      <w:shd w:val="clear" w:color="auto" w:fill="auto"/>
      <w:spacing w:line="480" w:lineRule="auto"/>
      <w:ind w:firstLine="400"/>
    </w:pPr>
    <w:rPr>
      <w:rFonts w:ascii="宋体" w:eastAsia="宋体" w:cs="宋体"/>
      <w:sz w:val="26"/>
      <w:szCs w:val="26"/>
      <w:u w:val="none"/>
      <w:shd w:val="clear" w:color="auto" w:fill="auto"/>
      <w:lang w:val="zh-TW" w:eastAsia="zh-TW" w:bidi="zh-TW"/>
    </w:rPr>
  </w:style>
  <w:style w:type="paragraph" w:customStyle="1" w:styleId="8">
    <w:name w:val="Table caption|1"/>
    <w:basedOn w:val="1"/>
    <w:qFormat/>
    <w:uiPriority w:val="0"/>
    <w:pPr>
      <w:widowControl w:val="0"/>
      <w:shd w:val="clear" w:color="auto" w:fill="auto"/>
      <w:spacing w:line="377" w:lineRule="exact"/>
      <w:ind w:firstLine="380"/>
    </w:pPr>
    <w:rPr>
      <w:rFonts w:ascii="宋体" w:eastAsia="宋体" w:cs="宋体"/>
      <w:sz w:val="19"/>
      <w:szCs w:val="19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2022-04-27T07:20:00Z</dcterms:created>
  <dc:creator>山水水木</dc:creator>
  <cp:lastModifiedBy>山水水木</cp:lastModifiedBy>
  <dcterms:modified xsi:type="dcterms:W3CDTF">2022-04-27T07:21:52Z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BCDF2C333C9F426A8C410D1DBF6ADC31</vt:lpwstr>
  </property>
</Properties>
</file>