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00" w:lineRule="exact"/>
        <w:jc w:val="both"/>
        <w:textAlignment w:val="center"/>
        <w:rPr>
          <w:rFonts w:hint="eastAsia" w:ascii="Times New Roman" w:hAnsi="Times New Roman" w:eastAsia="方正黑体_GBK" w:cs="Times New Roman"/>
          <w:spacing w:val="1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16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pacing w:val="16"/>
          <w:kern w:val="2"/>
          <w:sz w:val="32"/>
          <w:szCs w:val="32"/>
          <w:lang w:val="en-US" w:eastAsia="zh-CN"/>
        </w:rPr>
        <w:t>3</w:t>
      </w:r>
    </w:p>
    <w:p>
      <w:pPr>
        <w:widowControl w:val="0"/>
        <w:spacing w:after="0"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16"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6"/>
          <w:kern w:val="2"/>
          <w:sz w:val="36"/>
          <w:szCs w:val="36"/>
          <w:lang w:val="en-US" w:eastAsia="zh-CN"/>
        </w:rPr>
        <w:t>企业自评表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spacing w:val="16"/>
          <w:kern w:val="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6"/>
          <w:kern w:val="2"/>
          <w:sz w:val="28"/>
          <w:szCs w:val="28"/>
          <w:lang w:eastAsia="zh-CN"/>
        </w:rPr>
        <w:t>企业名称：</w:t>
      </w:r>
    </w:p>
    <w:tbl>
      <w:tblPr>
        <w:tblStyle w:val="5"/>
        <w:tblW w:w="100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810"/>
        <w:gridCol w:w="117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评分项目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条件要求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自我评价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二手车源整合能力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基础要求：具备较强的二手车车源整合能力，自身或合作伙伴年整合二手车源1000台。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加分条件：车源整合每增加500台，加1分；最高加5分。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与二手车市场或交易平台签订的合作协议，以及其他可以证明企业车源整合能力和数量的证明材料。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企业综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合能力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基础要求：具备开展二手车出口的基本条件，有负责二手车出口的专业团队。                                             加分要求：具备整车进出口从业经历或二手车交易从业经历加2分；境外营销网络覆盖10个（含）国家以上的加3分,5（含）-10（不含）国家的加2分，5个国家以下的加1分；专业团队成员在10人（含）以上加3分，5（含）-10（不含）人加2分，5人以下加1分；具备二手车整备能力加2分。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经历证明（例如销售合同等）；团队人员简历及介绍、入职证明、社保缴纳证明；境外营销网络证明（包括但不限于合作协议）；二手车整备能力（整备资质、整备场地、过往整备业绩或与具有整备能力的企业签订的合作协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售后服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务体系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基础要求：自建或合作建立售后体系。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要求：自有售后维修体系且覆盖10个（含）以上境外目标市场加10分，5（含）-10（不含）个加7分，5个以下加5分；合作体系10个（含1）及其以上，加5分；5-10个（含5个），加3分。可重复加分，累计加分不超过10分。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自有体系需提供海外公司商事证明，海外投资审批证明材料；合作体系需提供合作协议，维修网点图片等。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出口业绩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基础要求：通过其他试点企业代理出口过二手车。                                                                          加分要求：通过其他试点企业代理出口二手车500辆（含）以上的加10分；出口400（含）-500辆的加7分；300（含）-400辆的加5分；200（含）-300辆的加3分；200辆以下的加1分。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与有试点资质的企业签订的代理出口协议；出口报关单复印件；机动车注销证明书；以及其他可证明企业有出口实绩及出口数量的材料。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承诺数量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承诺当年出口200辆（含）以上得10分，出口150辆（含）至200辆（不含）得8分，出口100辆（含）至150辆（不含）得6分，出口50辆（含）至100辆（不含），50辆以下得4分。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eastAsia="zh-CN"/>
              </w:rPr>
              <w:t>现场答辩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基础要求：有二手车出口工作方案。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加分要求：评审专家根据二手车出口工作方案提问，企业现场答辩，根据企业答辩表现打分。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二手车出口工作方案。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both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pacing w:val="16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企业根据条件要求和自身情况填写企业自我评价栏，填写加分得分以及得分的具体表现，并提供相应证明材料。（没有通过其他试点企业代理出口过二手车的企业，出口业绩一栏不用填写，所有企业的现场答辩一栏不用填写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right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984" w:right="1417" w:bottom="1871" w:left="1531" w:header="851" w:footer="1417" w:gutter="0"/>
          <w:cols w:space="720" w:num="1"/>
          <w:docGrid w:type="linesAndChars" w:linePitch="295" w:charSpace="-312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ind w:left="330" w:leftChars="150" w:right="330" w:rightChars="150"/>
                            <w:rPr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ind w:left="330" w:leftChars="150" w:right="330" w:rightChars="150"/>
                      <w:rPr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Fonts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246"/>
        <w:tab w:val="right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548969AF"/>
    <w:rsid w:val="548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1060</Characters>
  <Lines>0</Lines>
  <Paragraphs>0</Paragraphs>
  <TotalTime>0</TotalTime>
  <ScaleCrop>false</ScaleCrop>
  <LinksUpToDate>false</LinksUpToDate>
  <CharactersWithSpaces>1179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2022-07-18T06:48:00Z</dcterms:created>
  <dc:creator>山水水木</dc:creator>
  <cp:lastModifiedBy>山水水木</cp:lastModifiedBy>
  <dcterms:modified xsi:type="dcterms:W3CDTF">2022-07-18T06:50:18Z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350DE6BF41D6476C9330B299A2E505BF</vt:lpwstr>
  </property>
</Properties>
</file>