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widowControl/>
        <w:spacing w:beforeAutospacing="0" w:afterAutospacing="0" w:line="580" w:lineRule="exact"/>
        <w:jc w:val="center"/>
        <w:rPr>
          <w:rFonts w:ascii="Times New Roman" w:hAnsi="Times New Roman" w:eastAsia="方正小标宋_GBK"/>
          <w:color w:val="000000"/>
          <w:sz w:val="44"/>
          <w:szCs w:val="44"/>
        </w:rPr>
      </w:pPr>
      <w:r>
        <w:rPr>
          <w:rFonts w:hint="eastAsia" w:ascii="Times New Roman" w:hAnsi="Times New Roman" w:eastAsia="方正小标宋_GBK"/>
          <w:color w:val="000000"/>
          <w:sz w:val="44"/>
          <w:szCs w:val="44"/>
        </w:rPr>
        <w:t>第五届西洽会线上展览服务项目</w:t>
      </w:r>
      <w:r>
        <w:rPr>
          <w:rFonts w:ascii="Times New Roman" w:hAnsi="Times New Roman" w:eastAsia="方正小标宋_GBK"/>
          <w:color w:val="000000"/>
          <w:sz w:val="44"/>
          <w:szCs w:val="44"/>
        </w:rPr>
        <w:t>采购公告</w:t>
      </w:r>
    </w:p>
    <w:p>
      <w:pPr>
        <w:pStyle w:val="12"/>
        <w:widowControl/>
        <w:adjustRightInd w:val="0"/>
        <w:snapToGrid w:val="0"/>
        <w:spacing w:beforeAutospacing="0" w:afterAutospacing="0" w:line="600" w:lineRule="exact"/>
        <w:ind w:firstLine="640" w:firstLineChars="200"/>
        <w:jc w:val="both"/>
        <w:rPr>
          <w:rFonts w:ascii="方正仿宋_GBK" w:eastAsia="方正仿宋_GBK"/>
          <w:color w:val="000000"/>
          <w:sz w:val="32"/>
          <w:szCs w:val="32"/>
        </w:rPr>
      </w:pPr>
    </w:p>
    <w:p>
      <w:pPr>
        <w:pStyle w:val="12"/>
        <w:widowControl/>
        <w:adjustRightInd w:val="0"/>
        <w:snapToGrid w:val="0"/>
        <w:spacing w:beforeAutospacing="0" w:afterAutospacing="0" w:line="600" w:lineRule="exact"/>
        <w:ind w:firstLine="640" w:firstLineChars="200"/>
        <w:jc w:val="both"/>
        <w:rPr>
          <w:rFonts w:ascii="Times New Roman" w:hAnsi="Times New Roman" w:eastAsia="方正黑体_GBK"/>
          <w:sz w:val="32"/>
          <w:szCs w:val="32"/>
        </w:rPr>
      </w:pPr>
      <w:r>
        <w:rPr>
          <w:rFonts w:hint="eastAsia" w:ascii="Times New Roman" w:hAnsi="Times New Roman" w:eastAsia="方正黑体_GBK"/>
          <w:sz w:val="32"/>
          <w:szCs w:val="32"/>
        </w:rPr>
        <w:t>一、</w:t>
      </w:r>
      <w:r>
        <w:rPr>
          <w:rFonts w:ascii="Times New Roman" w:hAnsi="Times New Roman" w:eastAsia="方正黑体_GBK"/>
          <w:sz w:val="32"/>
          <w:szCs w:val="32"/>
        </w:rPr>
        <w:t>项目名称</w:t>
      </w:r>
    </w:p>
    <w:p>
      <w:pPr>
        <w:pStyle w:val="12"/>
        <w:widowControl/>
        <w:adjustRightInd w:val="0"/>
        <w:snapToGrid w:val="0"/>
        <w:spacing w:beforeAutospacing="0" w:afterAutospacing="0" w:line="600" w:lineRule="exact"/>
        <w:ind w:firstLine="640" w:firstLineChars="200"/>
        <w:jc w:val="both"/>
        <w:rPr>
          <w:rFonts w:ascii="Times New Roman" w:hAnsi="Times New Roman" w:eastAsia="黑体"/>
          <w:sz w:val="32"/>
          <w:szCs w:val="32"/>
        </w:rPr>
      </w:pPr>
      <w:r>
        <w:rPr>
          <w:rFonts w:ascii="Times New Roman" w:hAnsi="Times New Roman" w:eastAsia="方正仿宋_GBK"/>
          <w:kern w:val="2"/>
          <w:sz w:val="32"/>
          <w:szCs w:val="32"/>
        </w:rPr>
        <w:fldChar w:fldCharType="begin"/>
      </w:r>
      <w:r>
        <w:instrText xml:space="preserve">HYPERLINK "F:/2017文件/2017渝交会/协议/第五届"</w:instrText>
      </w:r>
      <w:r>
        <w:rPr>
          <w:rFonts w:ascii="Times New Roman" w:hAnsi="Times New Roman" w:eastAsia="方正仿宋_GBK"/>
          <w:kern w:val="2"/>
          <w:sz w:val="32"/>
          <w:szCs w:val="32"/>
        </w:rPr>
        <w:fldChar w:fldCharType="separate"/>
      </w:r>
      <w:r>
        <w:rPr>
          <w:rFonts w:ascii="Times New Roman" w:hAnsi="Times New Roman" w:eastAsia="方正仿宋_GBK"/>
          <w:kern w:val="2"/>
          <w:sz w:val="32"/>
          <w:szCs w:val="32"/>
        </w:rPr>
        <w:t>第五届</w:t>
      </w:r>
      <w:r>
        <w:rPr>
          <w:rFonts w:ascii="Times New Roman" w:hAnsi="Times New Roman" w:eastAsia="方正仿宋_GBK"/>
          <w:kern w:val="2"/>
          <w:sz w:val="32"/>
          <w:szCs w:val="32"/>
        </w:rPr>
        <w:fldChar w:fldCharType="end"/>
      </w:r>
      <w:r>
        <w:rPr>
          <w:rFonts w:ascii="Times New Roman" w:hAnsi="Times New Roman" w:eastAsia="方正仿宋_GBK"/>
          <w:kern w:val="2"/>
          <w:sz w:val="32"/>
          <w:szCs w:val="32"/>
        </w:rPr>
        <w:t>西洽会</w:t>
      </w:r>
      <w:r>
        <w:rPr>
          <w:rFonts w:hint="eastAsia" w:ascii="Times New Roman" w:hAnsi="Times New Roman" w:eastAsia="方正仿宋_GBK"/>
          <w:kern w:val="2"/>
          <w:sz w:val="32"/>
          <w:szCs w:val="32"/>
        </w:rPr>
        <w:t>线上展览服务。</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黑体_GBK"/>
          <w:sz w:val="32"/>
          <w:szCs w:val="32"/>
        </w:rPr>
      </w:pPr>
      <w:r>
        <w:rPr>
          <w:rFonts w:hint="eastAsia" w:ascii="Times New Roman" w:hAnsi="Times New Roman" w:eastAsia="方正黑体_GBK"/>
          <w:sz w:val="32"/>
          <w:szCs w:val="32"/>
        </w:rPr>
        <w:t>二、</w:t>
      </w:r>
      <w:r>
        <w:rPr>
          <w:rFonts w:ascii="Times New Roman" w:hAnsi="Times New Roman" w:eastAsia="方正黑体_GBK"/>
          <w:sz w:val="32"/>
          <w:szCs w:val="32"/>
        </w:rPr>
        <w:t>项目预算金额</w:t>
      </w:r>
      <w:r>
        <w:rPr>
          <w:rFonts w:hint="eastAsia" w:ascii="Times New Roman" w:hAnsi="Times New Roman" w:eastAsia="方正黑体_GBK"/>
          <w:sz w:val="32"/>
          <w:szCs w:val="32"/>
        </w:rPr>
        <w:t>、报价要求及付款方式</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hint="eastAsia" w:ascii="Times New Roman" w:hAnsi="Times New Roman" w:eastAsia="方正仿宋_GBK"/>
          <w:kern w:val="2"/>
          <w:sz w:val="32"/>
          <w:szCs w:val="32"/>
        </w:rPr>
        <w:t>（一）项目预算金额：</w:t>
      </w:r>
      <w:r>
        <w:rPr>
          <w:rFonts w:ascii="Times New Roman" w:hAnsi="Times New Roman" w:eastAsia="方正仿宋_GBK"/>
          <w:kern w:val="2"/>
          <w:sz w:val="32"/>
          <w:szCs w:val="32"/>
        </w:rPr>
        <w:t>人民币45万元</w:t>
      </w:r>
      <w:r>
        <w:rPr>
          <w:rFonts w:hint="eastAsia" w:ascii="Times New Roman" w:hAnsi="Times New Roman" w:eastAsia="方正仿宋_GBK"/>
          <w:kern w:val="2"/>
          <w:sz w:val="32"/>
          <w:szCs w:val="32"/>
        </w:rPr>
        <w:t>。</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hint="eastAsia" w:ascii="Times New Roman" w:hAnsi="Times New Roman" w:eastAsia="方正仿宋_GBK"/>
          <w:kern w:val="2"/>
          <w:sz w:val="32"/>
          <w:szCs w:val="32"/>
        </w:rPr>
        <w:t>（二）报价要求：投标报价应包括完成项目的全部费用包括( 但不限于 ) 组织协调费、策划设计费、搭建费、执行费、材料费、场地费、办公费、人工费、保险费、验收专家费、税费等一切费用。因中标人自身原因造成漏报、少报皆由其自行承担责任，采购人不再补偿。</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hint="eastAsia" w:ascii="Times New Roman" w:hAnsi="Times New Roman" w:eastAsia="方正仿宋_GBK"/>
          <w:kern w:val="2"/>
          <w:sz w:val="32"/>
          <w:szCs w:val="32"/>
        </w:rPr>
        <w:t>（三）付款方式：合同签订后三天内由中标人提供足额增值税发票，并经采购人确定的跟审单位确认，采购人按资金审批流程支付合同金额的40%；中标人按采购合同完成所有工作内容、提交项目成果资料(包括但不限于文字资料、图片资料、影像资料、数据统计等 )，由跟审单位完成项目绩效评价，项目终验后的一个月内按照跟审单位确认的金额由中标人提供足额增值税发票后，采购人按资金审批流程支付剩余尾款。</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hint="eastAsia" w:ascii="方正黑体_GBK" w:eastAsia="方正黑体_GBK"/>
          <w:kern w:val="2"/>
          <w:sz w:val="32"/>
          <w:szCs w:val="32"/>
        </w:rPr>
        <w:t>三、</w:t>
      </w:r>
      <w:r>
        <w:rPr>
          <w:rFonts w:ascii="Times New Roman" w:hAnsi="Times New Roman" w:eastAsia="方正黑体_GBK"/>
          <w:sz w:val="32"/>
          <w:szCs w:val="32"/>
        </w:rPr>
        <w:t>项目主要内容及要求</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楷体_GBK"/>
          <w:sz w:val="32"/>
          <w:szCs w:val="32"/>
        </w:rPr>
      </w:pPr>
      <w:r>
        <w:rPr>
          <w:rFonts w:ascii="Times New Roman" w:hAnsi="Times New Roman" w:eastAsia="方正楷体_GBK"/>
          <w:sz w:val="32"/>
          <w:szCs w:val="32"/>
        </w:rPr>
        <w:t>（一）主播探展板块</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拍摄制作10个每个不少于120秒主播探展视频展示西洽会每个展馆亮点企业及展品。</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楷体_GBK"/>
          <w:sz w:val="32"/>
          <w:szCs w:val="32"/>
        </w:rPr>
      </w:pPr>
      <w:r>
        <w:rPr>
          <w:rFonts w:ascii="Times New Roman" w:hAnsi="Times New Roman" w:eastAsia="方正楷体_GBK"/>
          <w:sz w:val="32"/>
          <w:szCs w:val="32"/>
        </w:rPr>
        <w:t>（二）展馆展台拍摄及视频制作</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1</w:t>
      </w:r>
      <w:r>
        <w:rPr>
          <w:rFonts w:hint="eastAsia" w:ascii="方正仿宋_GBK" w:eastAsia="方正仿宋_GBK"/>
          <w:kern w:val="2"/>
          <w:sz w:val="32"/>
          <w:szCs w:val="32"/>
        </w:rPr>
        <w:t>．</w:t>
      </w:r>
      <w:r>
        <w:rPr>
          <w:rFonts w:ascii="Times New Roman" w:hAnsi="Times New Roman" w:eastAsia="方正仿宋_GBK"/>
          <w:kern w:val="2"/>
          <w:sz w:val="32"/>
          <w:szCs w:val="32"/>
        </w:rPr>
        <w:t>针对西洽会特装展台拍摄不少于3张精修照片（包含全景及亮点展品）</w:t>
      </w:r>
      <w:r>
        <w:rPr>
          <w:rFonts w:hint="eastAsia" w:ascii="Times New Roman" w:hAnsi="Times New Roman" w:eastAsia="方正仿宋_GBK"/>
          <w:kern w:val="2"/>
          <w:sz w:val="32"/>
          <w:szCs w:val="32"/>
        </w:rPr>
        <w:t>。</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2．为特装展台拍摄并制作15秒、30秒、60秒不同时长短视频记录展台亮点</w:t>
      </w:r>
      <w:r>
        <w:rPr>
          <w:rFonts w:hint="eastAsia" w:ascii="Times New Roman" w:hAnsi="Times New Roman" w:eastAsia="方正仿宋_GBK"/>
          <w:kern w:val="2"/>
          <w:sz w:val="32"/>
          <w:szCs w:val="32"/>
        </w:rPr>
        <w:t>。</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3．上传拍摄照片和视频至官网，丰富官网线上展厅图片观展、参展企业等板块，多角度、全方位实现线上展览功能。</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4．根据采购方要求拍摄西洽会重大活动、会议、开幕式等，精修照片及制作15秒、30秒、60秒不同时长短视频，根据采购方要求进行跟拍等。</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5．拍摄照片数不少于7000张。</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6．拍摄制作视频不少于200个。</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楷体_GBK"/>
          <w:sz w:val="32"/>
          <w:szCs w:val="32"/>
        </w:rPr>
      </w:pPr>
      <w:r>
        <w:rPr>
          <w:rFonts w:ascii="Times New Roman" w:hAnsi="Times New Roman" w:eastAsia="方正楷体_GBK"/>
          <w:sz w:val="32"/>
          <w:szCs w:val="32"/>
        </w:rPr>
        <w:t>（三）线上展厅VR制作</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拍摄制作西洽会实景720度全景VR，包含展馆外部、内部展厅、展品特写等不少于65个角度。</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楷体_GBK"/>
          <w:sz w:val="32"/>
          <w:szCs w:val="32"/>
        </w:rPr>
      </w:pPr>
      <w:r>
        <w:rPr>
          <w:rFonts w:ascii="Times New Roman" w:hAnsi="Times New Roman" w:eastAsia="方正楷体_GBK"/>
          <w:sz w:val="32"/>
          <w:szCs w:val="32"/>
        </w:rPr>
        <w:t>（四）质量要求</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（1）设备及后期。摄像设备采用6k分辨率；运用达芬奇调色；AE特效及三维包装。</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（2）输出。输出成品格式4K和1080P两个版本；照片视频存档、素材存档。VR生成HTML5格式，支持windows、linux、mac、android、iphone、wp、ipad所有主流平台观看。</w:t>
      </w:r>
    </w:p>
    <w:p>
      <w:pPr>
        <w:adjustRightInd w:val="0"/>
        <w:snapToGrid w:val="0"/>
        <w:spacing w:line="60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（五）团队要求</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（1）主播探展。重庆电视台在职主持人；记者、新闻主播从业资格优先。</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（2）服务团队。参与过大型会展活动相关经验优先。</w:t>
      </w:r>
    </w:p>
    <w:p>
      <w:pPr>
        <w:adjustRightInd w:val="0"/>
        <w:snapToGrid w:val="0"/>
        <w:spacing w:line="600" w:lineRule="exact"/>
        <w:ind w:firstLine="640" w:firstLineChars="200"/>
        <w:rPr>
          <w:rFonts w:ascii="Times New Roman" w:hAnsi="Times New Roman" w:eastAsia="方正楷体_GBK"/>
          <w:sz w:val="32"/>
          <w:szCs w:val="32"/>
        </w:rPr>
      </w:pPr>
      <w:r>
        <w:rPr>
          <w:rFonts w:ascii="Times New Roman" w:hAnsi="Times New Roman" w:eastAsia="方正楷体_GBK"/>
          <w:sz w:val="32"/>
          <w:szCs w:val="32"/>
        </w:rPr>
        <w:t>（六）服务期限要求</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第五届西洽会</w:t>
      </w:r>
    </w:p>
    <w:p>
      <w:pPr>
        <w:pStyle w:val="12"/>
        <w:widowControl/>
        <w:adjustRightInd w:val="0"/>
        <w:snapToGrid w:val="0"/>
        <w:spacing w:beforeAutospacing="0" w:afterAutospacing="0" w:line="600" w:lineRule="exact"/>
        <w:ind w:firstLine="640" w:firstLineChars="200"/>
        <w:jc w:val="both"/>
        <w:rPr>
          <w:rFonts w:ascii="方正黑体_GBK" w:eastAsia="方正黑体_GBK"/>
          <w:kern w:val="2"/>
          <w:sz w:val="32"/>
          <w:szCs w:val="32"/>
        </w:rPr>
      </w:pPr>
      <w:r>
        <w:rPr>
          <w:rFonts w:hint="eastAsia" w:ascii="方正黑体_GBK" w:eastAsia="方正黑体_GBK"/>
          <w:sz w:val="32"/>
          <w:szCs w:val="32"/>
        </w:rPr>
        <w:t>四、供应商资格条件</w:t>
      </w:r>
    </w:p>
    <w:p>
      <w:pPr>
        <w:pStyle w:val="12"/>
        <w:widowControl/>
        <w:adjustRightInd w:val="0"/>
        <w:snapToGrid w:val="0"/>
        <w:spacing w:beforeAutospacing="0" w:afterAutospacing="0" w:line="600" w:lineRule="exact"/>
        <w:ind w:firstLine="640" w:firstLineChars="200"/>
        <w:jc w:val="both"/>
        <w:rPr>
          <w:rFonts w:ascii="Times New Roman" w:hAnsi="Times New Roman" w:eastAsia="方正仿宋_GBK"/>
          <w:kern w:val="2"/>
          <w:sz w:val="32"/>
          <w:szCs w:val="32"/>
        </w:rPr>
      </w:pPr>
      <w:r>
        <w:rPr>
          <w:rFonts w:ascii="Times New Roman" w:hAnsi="Times New Roman" w:eastAsia="方正仿宋_GBK"/>
          <w:kern w:val="2"/>
          <w:sz w:val="32"/>
          <w:szCs w:val="32"/>
        </w:rPr>
        <w:t>供应商是指向采购人提供服务或者货物的法人、其他组织或者自然人。按照政府采购法第二十二条规定，供应商应当具备下列条件</w:t>
      </w:r>
      <w:r>
        <w:rPr>
          <w:rFonts w:hint="eastAsia" w:ascii="Times New Roman" w:hAnsi="Times New Roman" w:eastAsia="方正仿宋_GBK"/>
          <w:kern w:val="2"/>
          <w:sz w:val="32"/>
          <w:szCs w:val="32"/>
        </w:rPr>
        <w:t>：</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（一）具有独立承担民事责任的能力</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（二）具有良好的商业信誉和健全的财务会计制度</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（三）具有履行合同所必需的设备和专业技术能力</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（四）具有依法缴纳税收的良好记录</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（五）参加政府采购活动前三年内，在经营活动中没有重大违法记录</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仿宋_GBK" w:eastAsia="方正仿宋_GBK"/>
          <w:sz w:val="32"/>
          <w:szCs w:val="32"/>
        </w:rPr>
        <w:t>（六）法律、行政法规规定的其他条件</w:t>
      </w:r>
    </w:p>
    <w:p>
      <w:pPr>
        <w:pStyle w:val="12"/>
        <w:widowControl/>
        <w:adjustRightInd w:val="0"/>
        <w:snapToGrid w:val="0"/>
        <w:spacing w:beforeAutospacing="0" w:afterAutospacing="0" w:line="600" w:lineRule="exact"/>
        <w:ind w:firstLine="640" w:firstLineChars="200"/>
        <w:jc w:val="both"/>
        <w:rPr>
          <w:rFonts w:ascii="方正仿宋_GBK" w:eastAsia="方正仿宋_GBK"/>
          <w:sz w:val="32"/>
          <w:szCs w:val="32"/>
        </w:rPr>
      </w:pPr>
      <w:r>
        <w:rPr>
          <w:rFonts w:hint="eastAsia" w:ascii="方正黑体_GBK" w:eastAsia="方正黑体_GBK"/>
          <w:sz w:val="32"/>
          <w:szCs w:val="32"/>
        </w:rPr>
        <w:t>五、评审标准</w:t>
      </w:r>
    </w:p>
    <w:tbl>
      <w:tblPr>
        <w:tblStyle w:val="13"/>
        <w:tblW w:w="941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15" w:type="dxa"/>
          <w:left w:w="15" w:type="dxa"/>
          <w:bottom w:w="15" w:type="dxa"/>
          <w:right w:w="15" w:type="dxa"/>
        </w:tblCellMar>
      </w:tblPr>
      <w:tblGrid>
        <w:gridCol w:w="683"/>
        <w:gridCol w:w="900"/>
        <w:gridCol w:w="570"/>
        <w:gridCol w:w="4797"/>
        <w:gridCol w:w="246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15" w:type="dxa"/>
            <w:left w:w="15" w:type="dxa"/>
            <w:bottom w:w="15" w:type="dxa"/>
            <w:right w:w="15" w:type="dxa"/>
          </w:tblCellMar>
        </w:tblPrEx>
        <w:trPr>
          <w:jc w:val="center"/>
        </w:trPr>
        <w:tc>
          <w:tcPr>
            <w:tcW w:w="68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bCs/>
                <w:szCs w:val="28"/>
              </w:rPr>
            </w:pPr>
            <w:r>
              <w:rPr>
                <w:rFonts w:hint="eastAsia" w:ascii="方正黑体_GBK" w:eastAsia="方正黑体_GBK"/>
                <w:bCs/>
                <w:szCs w:val="28"/>
              </w:rPr>
              <w:t>序号</w:t>
            </w:r>
          </w:p>
        </w:tc>
        <w:tc>
          <w:tcPr>
            <w:tcW w:w="90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bCs/>
                <w:szCs w:val="28"/>
              </w:rPr>
            </w:pPr>
            <w:r>
              <w:rPr>
                <w:rFonts w:hint="eastAsia" w:ascii="方正黑体_GBK" w:eastAsia="方正黑体_GBK"/>
                <w:bCs/>
                <w:szCs w:val="28"/>
              </w:rPr>
              <w:t>评分因素权重</w:t>
            </w:r>
          </w:p>
        </w:tc>
        <w:tc>
          <w:tcPr>
            <w:tcW w:w="57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bCs/>
                <w:szCs w:val="28"/>
              </w:rPr>
            </w:pPr>
            <w:r>
              <w:rPr>
                <w:rFonts w:hint="eastAsia" w:ascii="方正黑体_GBK" w:eastAsia="方正黑体_GBK"/>
                <w:bCs/>
                <w:szCs w:val="28"/>
              </w:rPr>
              <w:t>分值</w:t>
            </w:r>
          </w:p>
        </w:tc>
        <w:tc>
          <w:tcPr>
            <w:tcW w:w="4797"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bCs/>
                <w:szCs w:val="28"/>
              </w:rPr>
            </w:pPr>
            <w:r>
              <w:rPr>
                <w:rFonts w:hint="eastAsia" w:ascii="方正黑体_GBK" w:eastAsia="方正黑体_GBK"/>
                <w:bCs/>
                <w:szCs w:val="28"/>
              </w:rPr>
              <w:t>评分标准</w:t>
            </w:r>
          </w:p>
        </w:tc>
        <w:tc>
          <w:tcPr>
            <w:tcW w:w="2467"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黑体_GBK" w:eastAsia="方正黑体_GBK"/>
                <w:bCs/>
                <w:szCs w:val="28"/>
              </w:rPr>
            </w:pPr>
            <w:r>
              <w:rPr>
                <w:rFonts w:hint="eastAsia" w:ascii="方正黑体_GBK" w:eastAsia="方正黑体_GBK"/>
                <w:bCs/>
                <w:szCs w:val="28"/>
              </w:rPr>
              <w:t>说明</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15" w:type="dxa"/>
            <w:left w:w="15" w:type="dxa"/>
            <w:bottom w:w="15" w:type="dxa"/>
            <w:right w:w="15" w:type="dxa"/>
          </w:tblCellMar>
        </w:tblPrEx>
        <w:trPr>
          <w:jc w:val="center"/>
        </w:trPr>
        <w:tc>
          <w:tcPr>
            <w:tcW w:w="68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1</w:t>
            </w:r>
          </w:p>
        </w:tc>
        <w:tc>
          <w:tcPr>
            <w:tcW w:w="90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磋商报价</w:t>
            </w:r>
          </w:p>
          <w:p>
            <w:pPr>
              <w:adjustRightInd w:val="0"/>
              <w:snapToGrid w:val="0"/>
              <w:jc w:val="center"/>
              <w:rPr>
                <w:rFonts w:ascii="方正仿宋_GBK" w:eastAsia="方正仿宋_GBK"/>
                <w:bCs/>
                <w:szCs w:val="28"/>
              </w:rPr>
            </w:pPr>
            <w:r>
              <w:rPr>
                <w:rFonts w:hint="eastAsia" w:ascii="方正仿宋_GBK" w:eastAsia="方正仿宋_GBK"/>
                <w:bCs/>
                <w:szCs w:val="28"/>
              </w:rPr>
              <w:t>（20%）</w:t>
            </w:r>
          </w:p>
        </w:tc>
        <w:tc>
          <w:tcPr>
            <w:tcW w:w="57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20</w:t>
            </w:r>
          </w:p>
        </w:tc>
        <w:tc>
          <w:tcPr>
            <w:tcW w:w="4797"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bCs/>
                <w:szCs w:val="28"/>
              </w:rPr>
            </w:pPr>
            <w:r>
              <w:rPr>
                <w:rFonts w:hint="eastAsia" w:ascii="方正仿宋_GBK" w:eastAsia="方正仿宋_GBK"/>
                <w:bCs/>
                <w:szCs w:val="28"/>
              </w:rPr>
              <w:t>满足资格性、符合性要求且最后报价最低的供应商的价格为磋商基准价，其价格分为满分。其他供应商的价格分统一按照下列公式计算：</w:t>
            </w:r>
          </w:p>
          <w:p>
            <w:pPr>
              <w:adjustRightInd w:val="0"/>
              <w:snapToGrid w:val="0"/>
              <w:rPr>
                <w:rFonts w:ascii="方正仿宋_GBK" w:eastAsia="方正仿宋_GBK"/>
                <w:bCs/>
                <w:szCs w:val="28"/>
              </w:rPr>
            </w:pPr>
            <w:r>
              <w:rPr>
                <w:rFonts w:hint="eastAsia" w:ascii="方正仿宋_GBK" w:eastAsia="方正仿宋_GBK"/>
                <w:bCs/>
                <w:szCs w:val="28"/>
              </w:rPr>
              <w:t>磋商报价得分=（磋商基准价/最后磋商报价）×价格权值×100</w:t>
            </w:r>
          </w:p>
        </w:tc>
        <w:tc>
          <w:tcPr>
            <w:tcW w:w="2467"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bCs/>
                <w:szCs w:val="28"/>
              </w:rPr>
            </w:pPr>
            <w:r>
              <w:rPr>
                <w:rFonts w:hint="eastAsia" w:ascii="方正仿宋_GBK" w:eastAsia="方正仿宋_GBK"/>
                <w:bCs/>
                <w:szCs w:val="28"/>
              </w:rPr>
              <w:t>对小型和微型企业产品的价格给予6%-10%的扣除，用扣除后的价格参与评审。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15" w:type="dxa"/>
            <w:left w:w="15" w:type="dxa"/>
            <w:bottom w:w="15" w:type="dxa"/>
            <w:right w:w="15" w:type="dxa"/>
          </w:tblCellMar>
        </w:tblPrEx>
        <w:trPr>
          <w:jc w:val="center"/>
        </w:trPr>
        <w:tc>
          <w:tcPr>
            <w:tcW w:w="68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2</w:t>
            </w:r>
          </w:p>
        </w:tc>
        <w:tc>
          <w:tcPr>
            <w:tcW w:w="90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服务部分</w:t>
            </w:r>
          </w:p>
          <w:p>
            <w:pPr>
              <w:adjustRightInd w:val="0"/>
              <w:snapToGrid w:val="0"/>
              <w:jc w:val="center"/>
              <w:rPr>
                <w:rFonts w:ascii="方正仿宋_GBK" w:eastAsia="方正仿宋_GBK"/>
                <w:bCs/>
                <w:szCs w:val="28"/>
              </w:rPr>
            </w:pPr>
            <w:r>
              <w:rPr>
                <w:rFonts w:hint="eastAsia" w:ascii="方正仿宋_GBK" w:eastAsia="方正仿宋_GBK"/>
                <w:bCs/>
                <w:szCs w:val="28"/>
              </w:rPr>
              <w:t>（50%）</w:t>
            </w:r>
          </w:p>
        </w:tc>
        <w:tc>
          <w:tcPr>
            <w:tcW w:w="57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50</w:t>
            </w:r>
          </w:p>
        </w:tc>
        <w:tc>
          <w:tcPr>
            <w:tcW w:w="4797"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b/>
                <w:bCs/>
                <w:szCs w:val="28"/>
              </w:rPr>
            </w:pPr>
            <w:r>
              <w:rPr>
                <w:rFonts w:hint="eastAsia" w:ascii="方正仿宋_GBK" w:eastAsia="方正仿宋_GBK"/>
                <w:b/>
                <w:bCs/>
                <w:szCs w:val="28"/>
              </w:rPr>
              <w:t>1．拍摄方案流程（共30分）</w:t>
            </w:r>
          </w:p>
          <w:p>
            <w:pPr>
              <w:adjustRightInd w:val="0"/>
              <w:snapToGrid w:val="0"/>
              <w:rPr>
                <w:rFonts w:ascii="方正仿宋_GBK" w:eastAsia="方正仿宋_GBK"/>
                <w:szCs w:val="28"/>
              </w:rPr>
            </w:pPr>
            <w:r>
              <w:rPr>
                <w:rFonts w:hint="eastAsia" w:ascii="方正仿宋_GBK" w:eastAsia="方正仿宋_GBK" w:cs="宋体"/>
                <w:b/>
                <w:bCs/>
                <w:szCs w:val="28"/>
              </w:rPr>
              <w:t>（1）</w:t>
            </w:r>
            <w:r>
              <w:rPr>
                <w:rFonts w:hint="eastAsia" w:ascii="方正仿宋_GBK" w:eastAsia="方正仿宋_GBK"/>
                <w:b/>
                <w:bCs/>
                <w:szCs w:val="28"/>
              </w:rPr>
              <w:t>对拍摄方案的合理性、完整性进行整体评判（5分）：</w:t>
            </w:r>
            <w:r>
              <w:rPr>
                <w:rFonts w:hint="eastAsia" w:ascii="方正仿宋_GBK" w:eastAsia="方正仿宋_GBK"/>
                <w:szCs w:val="28"/>
              </w:rPr>
              <w:t>方案合理内容完整得5分；方案较合理内容较完整得3分；方案不合理内容不完整的1分。未提供得0分。</w:t>
            </w:r>
          </w:p>
          <w:p>
            <w:pPr>
              <w:adjustRightInd w:val="0"/>
              <w:snapToGrid w:val="0"/>
              <w:rPr>
                <w:rFonts w:ascii="方正仿宋_GBK" w:eastAsia="方正仿宋_GBK"/>
                <w:b/>
                <w:bCs/>
                <w:szCs w:val="28"/>
              </w:rPr>
            </w:pPr>
            <w:r>
              <w:rPr>
                <w:rFonts w:hint="eastAsia" w:ascii="方正仿宋_GBK" w:eastAsia="方正仿宋_GBK" w:cs="宋体"/>
                <w:b/>
                <w:bCs/>
                <w:szCs w:val="28"/>
              </w:rPr>
              <w:t>（2）</w:t>
            </w:r>
            <w:r>
              <w:rPr>
                <w:rFonts w:hint="eastAsia" w:ascii="方正仿宋_GBK" w:eastAsia="方正仿宋_GBK"/>
                <w:b/>
                <w:bCs/>
                <w:szCs w:val="28"/>
              </w:rPr>
              <w:t>对拟投入设备进行评判（5分）：</w:t>
            </w:r>
            <w:r>
              <w:rPr>
                <w:rFonts w:hint="eastAsia" w:ascii="方正仿宋_GBK" w:eastAsia="方正仿宋_GBK"/>
                <w:szCs w:val="28"/>
              </w:rPr>
              <w:t>拥有4K及6k高清影视设备（航拍）得3分。</w:t>
            </w:r>
          </w:p>
          <w:p>
            <w:pPr>
              <w:adjustRightInd w:val="0"/>
              <w:snapToGrid w:val="0"/>
              <w:rPr>
                <w:rFonts w:ascii="方正仿宋_GBK" w:eastAsia="方正仿宋_GBK"/>
                <w:szCs w:val="28"/>
              </w:rPr>
            </w:pPr>
            <w:r>
              <w:rPr>
                <w:rFonts w:hint="eastAsia" w:ascii="方正仿宋_GBK" w:eastAsia="方正仿宋_GBK"/>
                <w:szCs w:val="28"/>
              </w:rPr>
              <w:t>后期有完整剪辑工作站和达芬奇调色工作站得2分。未提供得0分。</w:t>
            </w:r>
          </w:p>
          <w:p>
            <w:pPr>
              <w:adjustRightInd w:val="0"/>
              <w:snapToGrid w:val="0"/>
              <w:rPr>
                <w:rFonts w:ascii="方正仿宋_GBK" w:eastAsia="方正仿宋_GBK"/>
                <w:b/>
                <w:bCs/>
                <w:szCs w:val="28"/>
              </w:rPr>
            </w:pPr>
            <w:r>
              <w:rPr>
                <w:rFonts w:hint="eastAsia" w:ascii="方正仿宋_GBK" w:eastAsia="方正仿宋_GBK" w:cs="宋体"/>
                <w:b/>
                <w:bCs/>
                <w:szCs w:val="28"/>
              </w:rPr>
              <w:t>（3）</w:t>
            </w:r>
            <w:r>
              <w:rPr>
                <w:rFonts w:hint="eastAsia" w:ascii="方正仿宋_GBK" w:eastAsia="方正仿宋_GBK"/>
                <w:b/>
                <w:bCs/>
                <w:szCs w:val="28"/>
              </w:rPr>
              <w:t>对拍摄视频制作流程和进度安排进行评判（10分）：</w:t>
            </w:r>
          </w:p>
          <w:p>
            <w:pPr>
              <w:adjustRightInd w:val="0"/>
              <w:snapToGrid w:val="0"/>
              <w:rPr>
                <w:rFonts w:ascii="方正仿宋_GBK" w:eastAsia="方正仿宋_GBK"/>
                <w:szCs w:val="28"/>
              </w:rPr>
            </w:pPr>
            <w:r>
              <w:rPr>
                <w:rFonts w:hint="eastAsia" w:ascii="方正仿宋_GBK" w:eastAsia="方正仿宋_GBK"/>
                <w:szCs w:val="28"/>
              </w:rPr>
              <w:t>制作流程和进度安排合理的得10分；制作流程和进度安排较为合理的得5分；制作流程和进度安排不合理的得2分。未提供得0分。</w:t>
            </w:r>
          </w:p>
          <w:p>
            <w:pPr>
              <w:adjustRightInd w:val="0"/>
              <w:snapToGrid w:val="0"/>
              <w:rPr>
                <w:rFonts w:ascii="方正仿宋_GBK" w:eastAsia="方正仿宋_GBK"/>
                <w:b/>
                <w:bCs/>
                <w:szCs w:val="28"/>
              </w:rPr>
            </w:pPr>
            <w:r>
              <w:rPr>
                <w:rFonts w:hint="eastAsia" w:ascii="方正仿宋_GBK" w:eastAsia="方正仿宋_GBK"/>
                <w:b/>
                <w:bCs/>
                <w:szCs w:val="28"/>
              </w:rPr>
              <w:t>（4）对拍摄人员的安排进行评判（10分）：</w:t>
            </w:r>
          </w:p>
          <w:p>
            <w:pPr>
              <w:adjustRightInd w:val="0"/>
              <w:snapToGrid w:val="0"/>
              <w:rPr>
                <w:rFonts w:ascii="方正仿宋_GBK" w:eastAsia="方正仿宋_GBK"/>
                <w:szCs w:val="28"/>
              </w:rPr>
            </w:pPr>
            <w:r>
              <w:rPr>
                <w:rFonts w:hint="eastAsia" w:ascii="方正仿宋_GBK" w:eastAsia="方正仿宋_GBK"/>
                <w:szCs w:val="28"/>
              </w:rPr>
              <w:t>根据拍摄的需要安排不同的小组同时进行拍摄处理上传工作得10分；人员安排较为合理未分组分时段得5分；人员安排不合理得2分。未提供得0分。</w:t>
            </w:r>
          </w:p>
          <w:p>
            <w:pPr>
              <w:adjustRightInd w:val="0"/>
              <w:snapToGrid w:val="0"/>
              <w:rPr>
                <w:rFonts w:ascii="方正仿宋_GBK" w:eastAsia="方正仿宋_GBK"/>
                <w:szCs w:val="28"/>
              </w:rPr>
            </w:pPr>
            <w:r>
              <w:rPr>
                <w:rFonts w:hint="eastAsia" w:ascii="方正仿宋_GBK" w:eastAsia="方正仿宋_GBK"/>
                <w:szCs w:val="28"/>
              </w:rPr>
              <w:t>2</w:t>
            </w:r>
            <w:r>
              <w:rPr>
                <w:rFonts w:hint="eastAsia" w:ascii="方正仿宋_GBK" w:eastAsia="方正仿宋_GBK"/>
                <w:b/>
                <w:bCs/>
                <w:szCs w:val="28"/>
              </w:rPr>
              <w:t>．对VR制作方案进行评判（20分）</w:t>
            </w:r>
          </w:p>
          <w:p>
            <w:pPr>
              <w:pStyle w:val="2"/>
              <w:numPr>
                <w:ilvl w:val="0"/>
                <w:numId w:val="1"/>
              </w:numPr>
              <w:adjustRightInd w:val="0"/>
              <w:snapToGrid w:val="0"/>
              <w:jc w:val="both"/>
              <w:rPr>
                <w:rFonts w:ascii="方正仿宋_GBK" w:eastAsia="方正仿宋_GBK"/>
                <w:b/>
                <w:bCs/>
                <w:sz w:val="28"/>
                <w:szCs w:val="28"/>
              </w:rPr>
            </w:pPr>
            <w:r>
              <w:rPr>
                <w:rFonts w:hint="eastAsia" w:ascii="方正仿宋_GBK" w:eastAsia="方正仿宋_GBK"/>
                <w:b/>
                <w:bCs/>
                <w:sz w:val="28"/>
                <w:szCs w:val="28"/>
              </w:rPr>
              <w:t>制作流程及进度安排（10分）</w:t>
            </w:r>
          </w:p>
          <w:p>
            <w:pPr>
              <w:adjustRightInd w:val="0"/>
              <w:snapToGrid w:val="0"/>
              <w:rPr>
                <w:rFonts w:ascii="方正仿宋_GBK" w:eastAsia="方正仿宋_GBK"/>
                <w:szCs w:val="28"/>
              </w:rPr>
            </w:pPr>
            <w:r>
              <w:rPr>
                <w:rFonts w:hint="eastAsia" w:ascii="方正仿宋_GBK" w:eastAsia="方正仿宋_GBK"/>
                <w:szCs w:val="28"/>
              </w:rPr>
              <w:t>制作流程和进度安排合理的得10分；制作流程和进度安排较为合理的得5分；制作流程和进度安排不合理的得2分。未提供得0分。</w:t>
            </w:r>
          </w:p>
          <w:p>
            <w:pPr>
              <w:pStyle w:val="2"/>
              <w:numPr>
                <w:ilvl w:val="0"/>
                <w:numId w:val="1"/>
              </w:numPr>
              <w:adjustRightInd w:val="0"/>
              <w:snapToGrid w:val="0"/>
              <w:jc w:val="both"/>
              <w:rPr>
                <w:rFonts w:ascii="方正仿宋_GBK" w:eastAsia="方正仿宋_GBK"/>
                <w:b/>
                <w:bCs/>
                <w:sz w:val="28"/>
                <w:szCs w:val="28"/>
              </w:rPr>
            </w:pPr>
            <w:r>
              <w:rPr>
                <w:rFonts w:hint="eastAsia" w:ascii="方正仿宋_GBK" w:eastAsia="方正仿宋_GBK"/>
                <w:b/>
                <w:bCs/>
                <w:sz w:val="28"/>
                <w:szCs w:val="28"/>
              </w:rPr>
              <w:t>对拍摄规划进行评判（10分）</w:t>
            </w:r>
          </w:p>
          <w:p>
            <w:pPr>
              <w:adjustRightInd w:val="0"/>
              <w:snapToGrid w:val="0"/>
              <w:rPr>
                <w:rFonts w:ascii="方正仿宋_GBK" w:eastAsia="方正仿宋_GBK"/>
                <w:szCs w:val="28"/>
              </w:rPr>
            </w:pPr>
            <w:r>
              <w:rPr>
                <w:rFonts w:hint="eastAsia" w:ascii="方正仿宋_GBK" w:eastAsia="方正仿宋_GBK"/>
                <w:szCs w:val="28"/>
              </w:rPr>
              <w:t>规划丰富合理的得10分；规划较为合理的得5分；规划不合理的得2分。未提供得0分。</w:t>
            </w:r>
          </w:p>
        </w:tc>
        <w:tc>
          <w:tcPr>
            <w:tcW w:w="2467"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bCs/>
                <w:szCs w:val="28"/>
              </w:rPr>
            </w:pPr>
            <w:r>
              <w:rPr>
                <w:rFonts w:hint="eastAsia" w:ascii="方正仿宋_GBK" w:eastAsia="方正仿宋_GBK"/>
                <w:bCs/>
                <w:szCs w:val="28"/>
              </w:rPr>
              <w:t>供应商针对本项目制作一个拍摄方案。（方案包含但不限于视频策划拍摄制作时间节点、采购方需提供和配合的事情，投入的人员设备、处理紧急任务等内容）。</w:t>
            </w:r>
          </w:p>
          <w:p>
            <w:pPr>
              <w:adjustRightInd w:val="0"/>
              <w:snapToGrid w:val="0"/>
              <w:rPr>
                <w:rFonts w:ascii="方正仿宋_GBK" w:eastAsia="方正仿宋_GBK"/>
                <w:bCs/>
                <w:szCs w:val="28"/>
              </w:rPr>
            </w:pPr>
          </w:p>
          <w:p>
            <w:pPr>
              <w:adjustRightInd w:val="0"/>
              <w:snapToGrid w:val="0"/>
              <w:rPr>
                <w:rFonts w:ascii="方正仿宋_GBK" w:eastAsia="方正仿宋_GBK"/>
                <w:bCs/>
                <w:szCs w:val="28"/>
              </w:rPr>
            </w:pPr>
          </w:p>
          <w:p>
            <w:pPr>
              <w:adjustRightInd w:val="0"/>
              <w:snapToGrid w:val="0"/>
              <w:rPr>
                <w:rFonts w:ascii="方正仿宋_GBK" w:eastAsia="方正仿宋_GBK"/>
                <w:bCs/>
                <w:szCs w:val="28"/>
              </w:rPr>
            </w:pPr>
          </w:p>
          <w:p>
            <w:pPr>
              <w:adjustRightInd w:val="0"/>
              <w:snapToGrid w:val="0"/>
              <w:rPr>
                <w:rFonts w:ascii="方正仿宋_GBK" w:eastAsia="方正仿宋_GBK"/>
                <w:bCs/>
                <w:szCs w:val="28"/>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15" w:type="dxa"/>
            <w:left w:w="15" w:type="dxa"/>
            <w:bottom w:w="15" w:type="dxa"/>
            <w:right w:w="15" w:type="dxa"/>
          </w:tblCellMar>
        </w:tblPrEx>
        <w:trPr>
          <w:trHeight w:val="2004" w:hRule="atLeast"/>
          <w:jc w:val="center"/>
        </w:trPr>
        <w:tc>
          <w:tcPr>
            <w:tcW w:w="683"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3</w:t>
            </w:r>
          </w:p>
        </w:tc>
        <w:tc>
          <w:tcPr>
            <w:tcW w:w="90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商务部分</w:t>
            </w:r>
          </w:p>
          <w:p>
            <w:pPr>
              <w:adjustRightInd w:val="0"/>
              <w:snapToGrid w:val="0"/>
              <w:jc w:val="center"/>
              <w:rPr>
                <w:rFonts w:ascii="方正仿宋_GBK" w:eastAsia="方正仿宋_GBK"/>
                <w:bCs/>
                <w:szCs w:val="28"/>
              </w:rPr>
            </w:pPr>
            <w:r>
              <w:rPr>
                <w:rFonts w:hint="eastAsia" w:ascii="方正仿宋_GBK" w:eastAsia="方正仿宋_GBK"/>
                <w:bCs/>
                <w:szCs w:val="28"/>
              </w:rPr>
              <w:t>（30%）</w:t>
            </w:r>
          </w:p>
        </w:tc>
        <w:tc>
          <w:tcPr>
            <w:tcW w:w="570" w:type="dxa"/>
            <w:tcBorders>
              <w:tl2br w:val="nil"/>
              <w:tr2bl w:val="nil"/>
            </w:tcBorders>
            <w:shd w:val="clear" w:color="auto" w:fill="auto"/>
            <w:tcMar>
              <w:top w:w="0" w:type="dxa"/>
              <w:left w:w="0" w:type="dxa"/>
              <w:bottom w:w="0" w:type="dxa"/>
              <w:right w:w="0" w:type="dxa"/>
            </w:tcMar>
            <w:vAlign w:val="center"/>
          </w:tcPr>
          <w:p>
            <w:pPr>
              <w:adjustRightInd w:val="0"/>
              <w:snapToGrid w:val="0"/>
              <w:jc w:val="center"/>
              <w:rPr>
                <w:rFonts w:ascii="方正仿宋_GBK" w:eastAsia="方正仿宋_GBK"/>
                <w:bCs/>
                <w:szCs w:val="28"/>
              </w:rPr>
            </w:pPr>
            <w:r>
              <w:rPr>
                <w:rFonts w:hint="eastAsia" w:ascii="方正仿宋_GBK" w:eastAsia="方正仿宋_GBK"/>
                <w:bCs/>
                <w:szCs w:val="28"/>
              </w:rPr>
              <w:t>30</w:t>
            </w:r>
          </w:p>
        </w:tc>
        <w:tc>
          <w:tcPr>
            <w:tcW w:w="4797" w:type="dxa"/>
            <w:tcBorders>
              <w:tl2br w:val="nil"/>
              <w:tr2bl w:val="nil"/>
            </w:tcBorders>
            <w:shd w:val="clear" w:color="auto" w:fill="auto"/>
            <w:tcMar>
              <w:top w:w="0" w:type="dxa"/>
              <w:left w:w="0" w:type="dxa"/>
              <w:bottom w:w="0" w:type="dxa"/>
              <w:right w:w="0" w:type="dxa"/>
            </w:tcMar>
          </w:tcPr>
          <w:p>
            <w:pPr>
              <w:adjustRightInd w:val="0"/>
              <w:snapToGrid w:val="0"/>
              <w:rPr>
                <w:rFonts w:ascii="方正仿宋_GBK" w:eastAsia="方正仿宋_GBK"/>
                <w:bCs/>
                <w:szCs w:val="28"/>
              </w:rPr>
            </w:pPr>
            <w:r>
              <w:rPr>
                <w:rFonts w:hint="eastAsia" w:ascii="方正仿宋_GBK" w:eastAsia="方正仿宋_GBK"/>
                <w:b/>
                <w:szCs w:val="28"/>
              </w:rPr>
              <w:t>1</w:t>
            </w:r>
            <w:r>
              <w:rPr>
                <w:rFonts w:hint="eastAsia" w:ascii="方正仿宋_GBK" w:eastAsia="方正仿宋_GBK"/>
                <w:b/>
                <w:bCs/>
                <w:szCs w:val="28"/>
              </w:rPr>
              <w:t>．</w:t>
            </w:r>
            <w:r>
              <w:rPr>
                <w:rFonts w:hint="eastAsia" w:ascii="方正仿宋_GBK" w:eastAsia="方正仿宋_GBK"/>
                <w:b/>
                <w:szCs w:val="28"/>
              </w:rPr>
              <w:t>展会服务能力或技术性能力（10分）</w:t>
            </w:r>
          </w:p>
          <w:p>
            <w:pPr>
              <w:adjustRightInd w:val="0"/>
              <w:snapToGrid w:val="0"/>
              <w:rPr>
                <w:rFonts w:ascii="方正仿宋_GBK" w:eastAsia="方正仿宋_GBK"/>
                <w:bCs/>
                <w:szCs w:val="28"/>
              </w:rPr>
            </w:pPr>
            <w:r>
              <w:rPr>
                <w:rFonts w:hint="eastAsia" w:ascii="方正仿宋_GBK" w:eastAsia="方正仿宋_GBK"/>
                <w:bCs/>
                <w:szCs w:val="28"/>
              </w:rPr>
              <w:t>供应商法人证书或营业执照经营范围中含有负责展会服务性或技术性工作的得10分，未提供得0分。</w:t>
            </w:r>
          </w:p>
          <w:p>
            <w:pPr>
              <w:adjustRightInd w:val="0"/>
              <w:snapToGrid w:val="0"/>
              <w:rPr>
                <w:rFonts w:ascii="方正仿宋_GBK" w:eastAsia="方正仿宋_GBK"/>
                <w:b/>
                <w:szCs w:val="28"/>
              </w:rPr>
            </w:pPr>
            <w:r>
              <w:rPr>
                <w:rFonts w:hint="eastAsia" w:ascii="方正仿宋_GBK" w:eastAsia="方正仿宋_GBK"/>
                <w:b/>
                <w:szCs w:val="28"/>
              </w:rPr>
              <w:t>2</w:t>
            </w:r>
            <w:r>
              <w:rPr>
                <w:rFonts w:hint="eastAsia" w:ascii="方正仿宋_GBK" w:eastAsia="方正仿宋_GBK"/>
                <w:b/>
                <w:bCs/>
                <w:szCs w:val="28"/>
              </w:rPr>
              <w:t>．</w:t>
            </w:r>
            <w:r>
              <w:rPr>
                <w:rFonts w:hint="eastAsia" w:ascii="方正仿宋_GBK" w:eastAsia="方正仿宋_GBK"/>
                <w:b/>
                <w:szCs w:val="28"/>
              </w:rPr>
              <w:t>业绩(20分）</w:t>
            </w:r>
          </w:p>
          <w:p>
            <w:pPr>
              <w:adjustRightInd w:val="0"/>
              <w:snapToGrid w:val="0"/>
              <w:rPr>
                <w:rFonts w:ascii="方正仿宋_GBK" w:eastAsia="方正仿宋_GBK"/>
                <w:bCs/>
                <w:szCs w:val="28"/>
              </w:rPr>
            </w:pPr>
            <w:r>
              <w:rPr>
                <w:rFonts w:hint="eastAsia" w:ascii="方正仿宋_GBK" w:eastAsia="方正仿宋_GBK"/>
                <w:bCs/>
                <w:szCs w:val="28"/>
              </w:rPr>
              <w:t>2020年至今（以合同签订时间为准），供应商承接过省级(直辖市)及以上政府部门或事业单位拍摄类项目的，每有1个合同得10分，最多得20分。</w:t>
            </w:r>
          </w:p>
        </w:tc>
        <w:tc>
          <w:tcPr>
            <w:tcW w:w="2467" w:type="dxa"/>
            <w:tcBorders>
              <w:tl2br w:val="nil"/>
              <w:tr2bl w:val="nil"/>
            </w:tcBorders>
            <w:shd w:val="clear" w:color="auto" w:fill="auto"/>
            <w:tcMar>
              <w:top w:w="0" w:type="dxa"/>
              <w:left w:w="0" w:type="dxa"/>
              <w:bottom w:w="0" w:type="dxa"/>
              <w:right w:w="0" w:type="dxa"/>
            </w:tcMar>
            <w:vAlign w:val="center"/>
          </w:tcPr>
          <w:p>
            <w:pPr>
              <w:adjustRightInd w:val="0"/>
              <w:snapToGrid w:val="0"/>
              <w:rPr>
                <w:rFonts w:ascii="方正仿宋_GBK" w:eastAsia="方正仿宋_GBK"/>
                <w:bCs/>
                <w:szCs w:val="28"/>
              </w:rPr>
            </w:pPr>
            <w:r>
              <w:rPr>
                <w:rFonts w:hint="eastAsia" w:ascii="方正仿宋_GBK" w:eastAsia="方正仿宋_GBK"/>
                <w:szCs w:val="28"/>
              </w:rPr>
              <w:t>提供合同复印件加盖单位公章。</w:t>
            </w:r>
          </w:p>
        </w:tc>
      </w:tr>
    </w:tbl>
    <w:p>
      <w:pPr>
        <w:pStyle w:val="12"/>
        <w:widowControl/>
        <w:spacing w:beforeAutospacing="0" w:afterAutospacing="0" w:line="580" w:lineRule="exact"/>
        <w:ind w:firstLine="640" w:firstLineChars="200"/>
        <w:rPr>
          <w:rFonts w:ascii="方正黑体_GBK" w:eastAsia="方正黑体_GBK"/>
          <w:sz w:val="32"/>
          <w:szCs w:val="32"/>
        </w:rPr>
      </w:pPr>
      <w:r>
        <w:rPr>
          <w:rFonts w:hint="eastAsia" w:ascii="方正黑体_GBK" w:eastAsia="方正黑体_GBK"/>
          <w:sz w:val="32"/>
          <w:szCs w:val="32"/>
        </w:rPr>
        <w:t>六、报名时间</w:t>
      </w:r>
    </w:p>
    <w:p>
      <w:pPr>
        <w:pStyle w:val="12"/>
        <w:widowControl/>
        <w:spacing w:beforeAutospacing="0" w:afterAutospacing="0" w:line="580" w:lineRule="exact"/>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2023年</w:t>
      </w:r>
      <w:r>
        <w:rPr>
          <w:rFonts w:hint="eastAsia" w:ascii="Times New Roman" w:hAnsi="Times New Roman" w:eastAsia="方正仿宋_GBK"/>
          <w:kern w:val="2"/>
          <w:sz w:val="32"/>
          <w:szCs w:val="32"/>
          <w:lang w:val="en-US" w:eastAsia="zh-CN"/>
        </w:rPr>
        <w:t>3</w:t>
      </w:r>
      <w:r>
        <w:rPr>
          <w:rFonts w:ascii="Times New Roman" w:hAnsi="Times New Roman" w:eastAsia="方正仿宋_GBK"/>
          <w:kern w:val="2"/>
          <w:sz w:val="32"/>
          <w:szCs w:val="32"/>
        </w:rPr>
        <w:t>月</w:t>
      </w:r>
      <w:r>
        <w:rPr>
          <w:rFonts w:hint="eastAsia" w:ascii="Times New Roman" w:hAnsi="Times New Roman" w:eastAsia="方正仿宋_GBK"/>
          <w:kern w:val="2"/>
          <w:sz w:val="32"/>
          <w:szCs w:val="32"/>
          <w:lang w:val="en-US" w:eastAsia="zh-CN"/>
        </w:rPr>
        <w:t>14</w:t>
      </w:r>
      <w:r>
        <w:rPr>
          <w:rFonts w:ascii="Times New Roman" w:hAnsi="Times New Roman" w:eastAsia="方正仿宋_GBK"/>
          <w:kern w:val="2"/>
          <w:sz w:val="32"/>
          <w:szCs w:val="32"/>
        </w:rPr>
        <w:t>日下午</w:t>
      </w:r>
      <w:r>
        <w:rPr>
          <w:rFonts w:hint="eastAsia" w:ascii="Times New Roman" w:hAnsi="Times New Roman" w:eastAsia="方正仿宋_GBK"/>
          <w:kern w:val="2"/>
          <w:sz w:val="32"/>
          <w:szCs w:val="32"/>
          <w:lang w:val="en-US" w:eastAsia="zh-CN"/>
        </w:rPr>
        <w:t>5</w:t>
      </w:r>
      <w:r>
        <w:rPr>
          <w:rFonts w:ascii="Times New Roman" w:hAnsi="Times New Roman" w:eastAsia="方正仿宋_GBK"/>
          <w:kern w:val="2"/>
          <w:sz w:val="32"/>
          <w:szCs w:val="32"/>
        </w:rPr>
        <w:t>：00点之前,迟到或不符合规定的投标文件恕不接受。</w:t>
      </w:r>
    </w:p>
    <w:p>
      <w:pPr>
        <w:pStyle w:val="12"/>
        <w:widowControl/>
        <w:spacing w:beforeAutospacing="0" w:afterAutospacing="0" w:line="580" w:lineRule="exact"/>
        <w:ind w:firstLine="640" w:firstLineChars="200"/>
        <w:rPr>
          <w:rFonts w:ascii="方正黑体_GBK" w:eastAsia="方正黑体_GBK"/>
          <w:sz w:val="32"/>
          <w:szCs w:val="32"/>
        </w:rPr>
      </w:pPr>
      <w:r>
        <w:rPr>
          <w:rFonts w:hint="eastAsia" w:ascii="方正黑体_GBK" w:eastAsia="方正黑体_GBK"/>
          <w:sz w:val="32"/>
          <w:szCs w:val="32"/>
        </w:rPr>
        <w:t>七、报名资料</w:t>
      </w:r>
      <w:bookmarkStart w:id="0" w:name="_GoBack"/>
      <w:bookmarkEnd w:id="0"/>
    </w:p>
    <w:p>
      <w:pPr>
        <w:pStyle w:val="12"/>
        <w:widowControl/>
        <w:spacing w:beforeAutospacing="0" w:afterAutospacing="0" w:line="580" w:lineRule="exact"/>
        <w:ind w:firstLine="640" w:firstLineChars="200"/>
        <w:rPr>
          <w:rFonts w:ascii="Times New Roman" w:hAnsi="Times New Roman" w:eastAsia="方正仿宋_GBK"/>
          <w:kern w:val="2"/>
          <w:sz w:val="32"/>
          <w:szCs w:val="32"/>
        </w:rPr>
      </w:pPr>
      <w:r>
        <w:rPr>
          <w:rFonts w:ascii="Times New Roman" w:hAnsi="Times New Roman" w:eastAsia="方正仿宋_GBK"/>
          <w:kern w:val="2"/>
          <w:sz w:val="32"/>
          <w:szCs w:val="32"/>
        </w:rPr>
        <w:t>报名资料须采用信封包装并密封(一式五份</w:t>
      </w:r>
      <w:r>
        <w:rPr>
          <w:rFonts w:hint="eastAsia" w:ascii="Times New Roman" w:hAnsi="Times New Roman" w:eastAsia="方正仿宋_GBK"/>
          <w:kern w:val="2"/>
          <w:sz w:val="32"/>
          <w:szCs w:val="32"/>
          <w:lang w:eastAsia="zh-CN"/>
        </w:rPr>
        <w:t>，</w:t>
      </w:r>
      <w:r>
        <w:rPr>
          <w:rFonts w:hint="eastAsia" w:ascii="Times New Roman" w:hAnsi="Times New Roman" w:eastAsia="方正仿宋_GBK"/>
          <w:color w:val="333333"/>
          <w:sz w:val="32"/>
          <w:szCs w:val="32"/>
          <w:shd w:val="clear" w:color="auto" w:fill="FFFFFF"/>
          <w:lang w:val="en-US" w:eastAsia="zh-CN"/>
        </w:rPr>
        <w:t>一正四副</w:t>
      </w:r>
      <w:r>
        <w:rPr>
          <w:rFonts w:ascii="Times New Roman" w:hAnsi="Times New Roman" w:eastAsia="方正仿宋_GBK"/>
          <w:kern w:val="2"/>
          <w:sz w:val="32"/>
          <w:szCs w:val="32"/>
        </w:rPr>
        <w:t>)，</w:t>
      </w:r>
      <w:r>
        <w:rPr>
          <w:rFonts w:hint="eastAsia" w:ascii="Times New Roman" w:hAnsi="Times New Roman" w:eastAsia="方正仿宋_GBK"/>
          <w:kern w:val="2"/>
          <w:sz w:val="32"/>
          <w:szCs w:val="32"/>
          <w:lang w:val="en-US" w:eastAsia="zh-CN"/>
        </w:rPr>
        <w:t>正本</w:t>
      </w:r>
      <w:r>
        <w:rPr>
          <w:rFonts w:ascii="Times New Roman" w:hAnsi="Times New Roman" w:eastAsia="方正仿宋_GBK"/>
          <w:kern w:val="2"/>
          <w:sz w:val="32"/>
          <w:szCs w:val="32"/>
        </w:rPr>
        <w:t>电子文档</w:t>
      </w:r>
      <w:r>
        <w:rPr>
          <w:rFonts w:hint="eastAsia" w:ascii="Times New Roman" w:hAnsi="Times New Roman" w:eastAsia="方正仿宋_GBK"/>
          <w:kern w:val="2"/>
          <w:sz w:val="32"/>
          <w:szCs w:val="32"/>
          <w:lang w:val="en-US" w:eastAsia="zh-CN"/>
        </w:rPr>
        <w:t>1</w:t>
      </w:r>
      <w:r>
        <w:rPr>
          <w:rFonts w:ascii="Times New Roman" w:hAnsi="Times New Roman" w:eastAsia="方正仿宋_GBK"/>
          <w:kern w:val="2"/>
          <w:sz w:val="32"/>
          <w:szCs w:val="32"/>
        </w:rPr>
        <w:t>份。信封上注明项目名称、供应商名称等字样。信封的封口应加盖供应商公章或法人授权代表签字。报名资料包括如下内容：</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（一）投标人简介、营业执照等资质证明材料。</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（二）投标方案及价格(包括所有费用的全包价)。</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（三）类似案例和荣誉的证明。</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（四）上一年度财务状况报告(表)或其基本账户开户银行出具的资信证明复印件，本年度新成立或成立不满一年的组织和自然人无法提供财务状况报告（表）的，可提供银行出具的资信证明复印件。</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（五）书面声明，承诺具有履行合同所必需的设备和专业技术能力；承诺参加政府采购活动前三年内，在经营活动中没有受过刑事处罚、行政处罚、行业自律惩戒。</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（六）依法缴纳税收和社会保障金的证明材料复印件；依法免税或不需要缴纳社会保障资金的供应商，应提供相应文件证明其依法免税或不需要缴纳社会保障资金。</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（七）投标人法定代表人证明书或授权委托函原件材料。</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（八）投标人认为需要提供的其他材料。</w:t>
      </w:r>
    </w:p>
    <w:p>
      <w:pPr>
        <w:pStyle w:val="12"/>
        <w:widowControl/>
        <w:spacing w:beforeAutospacing="0" w:afterAutospacing="0" w:line="580" w:lineRule="exact"/>
        <w:ind w:firstLine="640" w:firstLineChars="200"/>
        <w:rPr>
          <w:rFonts w:ascii="Times New Roman" w:hAnsi="Times New Roman" w:eastAsia="黑体"/>
          <w:sz w:val="32"/>
          <w:szCs w:val="32"/>
        </w:rPr>
      </w:pPr>
      <w:r>
        <w:rPr>
          <w:rFonts w:ascii="Times New Roman" w:hAnsi="Times New Roman" w:eastAsia="黑体"/>
          <w:sz w:val="32"/>
          <w:szCs w:val="32"/>
        </w:rPr>
        <w:t>八、报名方式</w:t>
      </w:r>
    </w:p>
    <w:p>
      <w:pPr>
        <w:pStyle w:val="12"/>
        <w:widowControl/>
        <w:spacing w:beforeAutospacing="0" w:afterAutospacing="0" w:line="580" w:lineRule="exact"/>
        <w:ind w:firstLine="640" w:firstLineChars="200"/>
        <w:rPr>
          <w:rFonts w:ascii="方正仿宋_GBK" w:eastAsia="方正仿宋_GBK"/>
          <w:kern w:val="2"/>
          <w:sz w:val="32"/>
          <w:szCs w:val="32"/>
        </w:rPr>
      </w:pPr>
      <w:r>
        <w:rPr>
          <w:rFonts w:ascii="Times New Roman" w:hAnsi="Times New Roman" w:eastAsia="方正仿宋_GBK"/>
          <w:kern w:val="2"/>
          <w:sz w:val="32"/>
          <w:szCs w:val="32"/>
        </w:rPr>
        <w:t>本项目仅接受现场登记，请前往重庆市南岸区南滨路162号</w:t>
      </w:r>
      <w:r>
        <w:rPr>
          <w:rFonts w:hint="eastAsia" w:ascii="Times New Roman" w:hAnsi="Times New Roman" w:eastAsia="方正仿宋_GBK"/>
          <w:kern w:val="2"/>
          <w:sz w:val="32"/>
          <w:szCs w:val="32"/>
        </w:rPr>
        <w:t>2幢1903号房</w:t>
      </w:r>
      <w:r>
        <w:rPr>
          <w:rFonts w:hint="eastAsia" w:ascii="方正仿宋_GBK" w:eastAsia="方正仿宋_GBK"/>
          <w:sz w:val="32"/>
          <w:szCs w:val="32"/>
        </w:rPr>
        <w:t>间</w:t>
      </w:r>
      <w:r>
        <w:rPr>
          <w:rFonts w:hint="eastAsia" w:ascii="方正仿宋_GBK" w:eastAsia="方正仿宋_GBK"/>
          <w:kern w:val="2"/>
          <w:sz w:val="32"/>
          <w:szCs w:val="32"/>
        </w:rPr>
        <w:t>。</w:t>
      </w:r>
    </w:p>
    <w:p>
      <w:pPr>
        <w:pStyle w:val="12"/>
        <w:widowControl/>
        <w:spacing w:beforeAutospacing="0" w:afterAutospacing="0" w:line="580" w:lineRule="exact"/>
        <w:ind w:firstLine="640" w:firstLineChars="200"/>
        <w:rPr>
          <w:rFonts w:ascii="Times New Roman" w:hAnsi="Times New Roman" w:eastAsia="黑体"/>
          <w:sz w:val="32"/>
          <w:szCs w:val="32"/>
        </w:rPr>
      </w:pPr>
      <w:r>
        <w:rPr>
          <w:rFonts w:ascii="Times New Roman" w:hAnsi="Times New Roman" w:eastAsia="黑体"/>
          <w:sz w:val="32"/>
          <w:szCs w:val="32"/>
        </w:rPr>
        <w:t>九、其他需要公告内容</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（一）本项目不接受联合体投标。</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（二）本文件所涉及时间一律为北京时间。</w:t>
      </w:r>
    </w:p>
    <w:p>
      <w:pPr>
        <w:pStyle w:val="12"/>
        <w:widowControl/>
        <w:spacing w:beforeAutospacing="0" w:afterAutospacing="0" w:line="580" w:lineRule="exact"/>
        <w:ind w:firstLine="640" w:firstLineChars="200"/>
        <w:rPr>
          <w:rFonts w:ascii="方正仿宋_GBK" w:eastAsia="方正仿宋_GBK"/>
          <w:kern w:val="2"/>
          <w:sz w:val="32"/>
          <w:szCs w:val="32"/>
        </w:rPr>
      </w:pPr>
      <w:r>
        <w:rPr>
          <w:rFonts w:hint="eastAsia" w:ascii="方正仿宋_GBK" w:eastAsia="方正仿宋_GBK"/>
          <w:sz w:val="32"/>
          <w:szCs w:val="32"/>
        </w:rPr>
        <w:t>（三）违约责任。</w:t>
      </w:r>
      <w:r>
        <w:rPr>
          <w:rFonts w:hint="eastAsia" w:ascii="方正仿宋_GBK" w:eastAsia="方正仿宋_GBK"/>
          <w:kern w:val="2"/>
          <w:sz w:val="32"/>
          <w:szCs w:val="32"/>
        </w:rPr>
        <w:t>若投标人无故弃标或存在其他违反招投标诚信行为的，将列入我委采购黑名单，不予接受任何采购供应服务，同时视情将有关情况报送相关财政部门，由财政部门根据实际情况记入供应商诚信档案。</w:t>
      </w:r>
    </w:p>
    <w:p>
      <w:pPr>
        <w:pStyle w:val="12"/>
        <w:widowControl/>
        <w:spacing w:beforeAutospacing="0" w:afterAutospacing="0" w:line="580" w:lineRule="exact"/>
        <w:ind w:firstLine="640" w:firstLineChars="200"/>
        <w:rPr>
          <w:rFonts w:ascii="方正仿宋_GBK" w:eastAsia="方正仿宋_GBK"/>
          <w:sz w:val="32"/>
          <w:szCs w:val="32"/>
        </w:rPr>
      </w:pPr>
      <w:r>
        <w:rPr>
          <w:rFonts w:hint="eastAsia" w:ascii="方正仿宋_GBK" w:eastAsia="方正仿宋_GBK"/>
          <w:sz w:val="32"/>
          <w:szCs w:val="32"/>
        </w:rPr>
        <w:t>（四）我委享有最终解释权。</w:t>
      </w:r>
    </w:p>
    <w:p>
      <w:pPr>
        <w:pStyle w:val="12"/>
        <w:widowControl/>
        <w:spacing w:beforeAutospacing="0" w:afterAutospacing="0" w:line="580" w:lineRule="exact"/>
        <w:ind w:firstLine="640" w:firstLineChars="200"/>
        <w:rPr>
          <w:rFonts w:hint="eastAsia" w:ascii="Times New Roman" w:hAnsi="Times New Roman" w:eastAsia="方正仿宋_GBK"/>
          <w:kern w:val="2"/>
          <w:sz w:val="32"/>
          <w:szCs w:val="32"/>
          <w:lang w:val="en-US" w:eastAsia="zh-CN"/>
        </w:rPr>
      </w:pPr>
      <w:r>
        <w:rPr>
          <w:rFonts w:hint="eastAsia" w:ascii="方正仿宋_GBK" w:eastAsia="方正仿宋_GBK"/>
          <w:sz w:val="32"/>
          <w:szCs w:val="32"/>
        </w:rPr>
        <w:t>（五）联系人：谭老师，联系电话：</w:t>
      </w:r>
      <w:r>
        <w:rPr>
          <w:rFonts w:hint="eastAsia" w:ascii="Times New Roman" w:hAnsi="Times New Roman" w:eastAsia="方正仿宋_GBK"/>
          <w:kern w:val="2"/>
          <w:sz w:val="32"/>
          <w:szCs w:val="32"/>
          <w:lang w:val="en-US" w:eastAsia="zh-CN"/>
        </w:rPr>
        <w:t>023-62663069，联系地址：重庆市南岸区南滨路162号2幢。</w:t>
      </w:r>
    </w:p>
    <w:p>
      <w:pPr>
        <w:pStyle w:val="12"/>
        <w:widowControl/>
        <w:spacing w:beforeAutospacing="0" w:afterAutospacing="0" w:line="580" w:lineRule="exact"/>
        <w:ind w:firstLine="420"/>
        <w:rPr>
          <w:rFonts w:ascii="Times New Roman" w:hAnsi="Times New Roman" w:eastAsia="仿宋_GB2312"/>
          <w:sz w:val="32"/>
          <w:szCs w:val="32"/>
        </w:rPr>
      </w:pPr>
    </w:p>
    <w:p>
      <w:pPr>
        <w:pStyle w:val="12"/>
        <w:widowControl/>
        <w:spacing w:beforeAutospacing="0" w:afterAutospacing="0" w:line="580" w:lineRule="exact"/>
        <w:ind w:firstLine="420"/>
        <w:rPr>
          <w:rFonts w:ascii="Times New Roman" w:hAnsi="Times New Roman" w:eastAsia="仿宋_GB2312"/>
          <w:sz w:val="32"/>
          <w:szCs w:val="32"/>
        </w:rPr>
      </w:pPr>
    </w:p>
    <w:p>
      <w:pPr>
        <w:pStyle w:val="12"/>
        <w:widowControl/>
        <w:spacing w:beforeAutospacing="0" w:afterAutospacing="0" w:line="580" w:lineRule="exact"/>
        <w:ind w:firstLine="640" w:firstLineChars="200"/>
        <w:jc w:val="right"/>
        <w:rPr>
          <w:rFonts w:ascii="Times New Roman" w:hAnsi="Times New Roman" w:eastAsia="方正仿宋_GBK"/>
          <w:kern w:val="2"/>
          <w:sz w:val="32"/>
          <w:szCs w:val="32"/>
        </w:rPr>
      </w:pPr>
      <w:r>
        <w:rPr>
          <w:rFonts w:ascii="Times New Roman" w:hAnsi="Times New Roman" w:eastAsia="方正仿宋_GBK"/>
          <w:kern w:val="2"/>
          <w:sz w:val="32"/>
          <w:szCs w:val="32"/>
        </w:rPr>
        <w:t>重庆市商务委员会</w:t>
      </w:r>
    </w:p>
    <w:p>
      <w:pPr>
        <w:pStyle w:val="12"/>
        <w:widowControl/>
        <w:spacing w:beforeAutospacing="0" w:afterAutospacing="0" w:line="580" w:lineRule="exact"/>
        <w:ind w:firstLine="640" w:firstLineChars="200"/>
        <w:jc w:val="right"/>
        <w:rPr>
          <w:rFonts w:ascii="Times New Roman" w:hAnsi="Times New Roman" w:eastAsia="方正仿宋_GBK"/>
          <w:sz w:val="32"/>
          <w:szCs w:val="32"/>
        </w:rPr>
      </w:pPr>
      <w:r>
        <w:rPr>
          <w:rFonts w:hint="eastAsia" w:ascii="Times New Roman" w:hAnsi="Times New Roman" w:eastAsia="方正仿宋_GBK"/>
          <w:kern w:val="2"/>
          <w:sz w:val="32"/>
          <w:szCs w:val="32"/>
          <w:lang w:val="en-US" w:eastAsia="zh-CN"/>
        </w:rPr>
        <w:t>2023</w:t>
      </w:r>
      <w:r>
        <w:rPr>
          <w:rFonts w:ascii="Times New Roman" w:hAnsi="Times New Roman" w:eastAsia="方正仿宋_GBK"/>
          <w:kern w:val="2"/>
          <w:sz w:val="32"/>
          <w:szCs w:val="32"/>
        </w:rPr>
        <w:t>年</w:t>
      </w:r>
      <w:r>
        <w:rPr>
          <w:rFonts w:hint="eastAsia" w:ascii="Times New Roman" w:hAnsi="Times New Roman" w:eastAsia="方正仿宋_GBK"/>
          <w:kern w:val="2"/>
          <w:sz w:val="32"/>
          <w:szCs w:val="32"/>
          <w:lang w:val="en-US" w:eastAsia="zh-CN"/>
        </w:rPr>
        <w:t>3</w:t>
      </w:r>
      <w:r>
        <w:rPr>
          <w:rFonts w:ascii="Times New Roman" w:hAnsi="Times New Roman" w:eastAsia="方正仿宋_GBK"/>
          <w:kern w:val="2"/>
          <w:sz w:val="32"/>
          <w:szCs w:val="32"/>
        </w:rPr>
        <w:t>月</w:t>
      </w:r>
      <w:r>
        <w:rPr>
          <w:rFonts w:hint="eastAsia" w:ascii="Times New Roman" w:hAnsi="Times New Roman" w:eastAsia="方正仿宋_GBK"/>
          <w:kern w:val="2"/>
          <w:sz w:val="32"/>
          <w:szCs w:val="32"/>
          <w:lang w:val="en-US" w:eastAsia="zh-CN"/>
        </w:rPr>
        <w:t>9</w:t>
      </w:r>
      <w:r>
        <w:rPr>
          <w:rFonts w:ascii="Times New Roman" w:hAnsi="Times New Roman" w:eastAsia="方正仿宋_GBK"/>
          <w:kern w:val="2"/>
          <w:sz w:val="32"/>
          <w:szCs w:val="32"/>
        </w:rPr>
        <w:t>日</w:t>
      </w:r>
    </w:p>
    <w:sectPr>
      <w:footerReference r:id="rId3" w:type="default"/>
      <w:footerReference r:id="rId4" w:type="even"/>
      <w:pgSz w:w="11906" w:h="16838"/>
      <w:pgMar w:top="2098" w:right="1531" w:bottom="1985" w:left="1531" w:header="851" w:footer="992" w:gutter="0"/>
      <w:cols w:space="720" w:num="1"/>
      <w:docGrid w:type="lines"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ascii="宋体" w:eastAsia="宋体"/>
        <w:sz w:val="28"/>
        <w:szCs w:val="28"/>
      </w:rPr>
    </w:pPr>
    <w:r>
      <w:rPr>
        <w:rFonts w:hint="eastAsia" w:ascii="宋体" w:eastAsia="宋体"/>
        <w:sz w:val="28"/>
        <w:szCs w:val="28"/>
      </w:rPr>
      <w:t>—</w:t>
    </w:r>
    <w:r>
      <w:rPr>
        <w:rFonts w:ascii="宋体" w:eastAsia="宋体"/>
        <w:sz w:val="28"/>
        <w:szCs w:val="28"/>
      </w:rPr>
      <w:t xml:space="preserve"> </w:t>
    </w:r>
    <w:r>
      <w:rPr>
        <w:rFonts w:ascii="宋体" w:eastAsia="宋体"/>
        <w:sz w:val="28"/>
        <w:szCs w:val="28"/>
      </w:rPr>
      <w:fldChar w:fldCharType="begin"/>
    </w:r>
    <w:r>
      <w:rPr>
        <w:rFonts w:ascii="宋体" w:eastAsia="宋体"/>
        <w:sz w:val="28"/>
        <w:szCs w:val="28"/>
      </w:rPr>
      <w:instrText xml:space="preserve">PAGE   \* MERGEFORMAT</w:instrText>
    </w:r>
    <w:r>
      <w:rPr>
        <w:rFonts w:ascii="宋体" w:eastAsia="宋体"/>
        <w:sz w:val="28"/>
        <w:szCs w:val="28"/>
      </w:rPr>
      <w:fldChar w:fldCharType="separate"/>
    </w:r>
    <w:r>
      <w:rPr>
        <w:rFonts w:ascii="宋体" w:eastAsia="宋体"/>
        <w:sz w:val="28"/>
        <w:szCs w:val="28"/>
        <w:lang w:val="zh-CN"/>
      </w:rPr>
      <w:t>1</w:t>
    </w:r>
    <w:r>
      <w:rPr>
        <w:rFonts w:ascii="宋体" w:eastAsia="宋体"/>
        <w:sz w:val="28"/>
        <w:szCs w:val="28"/>
      </w:rPr>
      <w:fldChar w:fldCharType="end"/>
    </w:r>
    <w:r>
      <w:rPr>
        <w:rFonts w:ascii="宋体" w:eastAsia="宋体"/>
        <w:sz w:val="28"/>
        <w:szCs w:val="28"/>
      </w:rPr>
      <w:t xml:space="preserve"> </w:t>
    </w:r>
    <w:r>
      <w:rPr>
        <w:rFonts w:hint="eastAsia" w:ascii="宋体" w:eastAsia="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rFonts w:ascii="宋体" w:eastAsia="宋体"/>
        <w:sz w:val="28"/>
        <w:szCs w:val="28"/>
      </w:rPr>
    </w:pPr>
    <w:r>
      <w:rPr>
        <w:rFonts w:hint="eastAsia" w:ascii="宋体" w:eastAsia="宋体"/>
        <w:sz w:val="28"/>
        <w:szCs w:val="28"/>
      </w:rPr>
      <w:t>—</w:t>
    </w:r>
    <w:r>
      <w:rPr>
        <w:rFonts w:ascii="宋体" w:eastAsia="宋体"/>
        <w:sz w:val="28"/>
        <w:szCs w:val="28"/>
      </w:rPr>
      <w:t xml:space="preserve"> </w:t>
    </w:r>
    <w:r>
      <w:rPr>
        <w:rFonts w:ascii="宋体" w:eastAsia="宋体"/>
        <w:sz w:val="28"/>
        <w:szCs w:val="28"/>
      </w:rPr>
      <w:fldChar w:fldCharType="begin"/>
    </w:r>
    <w:r>
      <w:rPr>
        <w:rFonts w:ascii="宋体" w:eastAsia="宋体"/>
        <w:sz w:val="28"/>
        <w:szCs w:val="28"/>
      </w:rPr>
      <w:instrText xml:space="preserve">PAGE   \* MERGEFORMAT</w:instrText>
    </w:r>
    <w:r>
      <w:rPr>
        <w:rFonts w:ascii="宋体" w:eastAsia="宋体"/>
        <w:sz w:val="28"/>
        <w:szCs w:val="28"/>
      </w:rPr>
      <w:fldChar w:fldCharType="separate"/>
    </w:r>
    <w:r>
      <w:rPr>
        <w:rFonts w:ascii="宋体" w:eastAsia="宋体"/>
        <w:sz w:val="28"/>
        <w:szCs w:val="28"/>
        <w:lang w:val="zh-CN"/>
      </w:rPr>
      <w:t>1</w:t>
    </w:r>
    <w:r>
      <w:rPr>
        <w:rFonts w:ascii="宋体" w:eastAsia="宋体"/>
        <w:sz w:val="28"/>
        <w:szCs w:val="28"/>
      </w:rPr>
      <w:fldChar w:fldCharType="end"/>
    </w:r>
    <w:r>
      <w:rPr>
        <w:rFonts w:ascii="宋体" w:eastAsia="宋体"/>
        <w:sz w:val="28"/>
        <w:szCs w:val="28"/>
      </w:rPr>
      <w:t xml:space="preserve"> </w:t>
    </w:r>
    <w:r>
      <w:rPr>
        <w:rFonts w:hint="eastAsia" w:ascii="宋体" w:eastAsia="宋体"/>
        <w:sz w:val="28"/>
        <w:szCs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5FEAC2"/>
    <w:multiLevelType w:val="singleLevel"/>
    <w:tmpl w:val="C45FEAC2"/>
    <w:lvl w:ilvl="0" w:tentative="0">
      <w:start w:val="1"/>
      <w:numFmt w:val="decimal"/>
      <w:suff w:val="nothing"/>
      <w:lvlText w:val="（%1）"/>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40"/>
  <w:drawingGridVerticalSpacing w:val="381"/>
  <w:displayHorizontalDrawingGridEvery w:val="2"/>
  <w:displayVerticalDrawingGridEvery w:val="1"/>
  <w:noPunctuationKerning w:val="1"/>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4"/>
  </w:compat>
  <w:docVars>
    <w:docVar w:name="commondata" w:val="eyJoZGlkIjoiYjMzNTIzOWM3YWU0ZTg2ZmFkYjA0MmM1NDE3YWU1MzcifQ=="/>
  </w:docVars>
  <w:rsids>
    <w:rsidRoot w:val="00000000"/>
    <w:rsid w:val="118C2229"/>
    <w:rsid w:val="4360121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szCs w:val="22"/>
      <w:lang w:val="en-US" w:eastAsia="zh-CN" w:bidi="ar-SA"/>
    </w:rPr>
  </w:style>
  <w:style w:type="paragraph" w:styleId="3">
    <w:name w:val="heading 1"/>
    <w:basedOn w:val="1"/>
    <w:next w:val="1"/>
    <w:uiPriority w:val="0"/>
    <w:pPr>
      <w:spacing w:beforeAutospacing="1" w:afterAutospacing="1"/>
      <w:ind w:left="200" w:leftChars="200"/>
      <w:jc w:val="left"/>
      <w:outlineLvl w:val="0"/>
    </w:pPr>
    <w:rPr>
      <w:rFonts w:ascii="宋体" w:hAnsi="宋体" w:eastAsia="方正黑体_GBK"/>
      <w:b/>
      <w:bCs/>
      <w:kern w:val="44"/>
      <w:sz w:val="32"/>
      <w:szCs w:val="48"/>
    </w:rPr>
  </w:style>
  <w:style w:type="paragraph" w:styleId="4">
    <w:name w:val="heading 2"/>
    <w:basedOn w:val="1"/>
    <w:next w:val="1"/>
    <w:uiPriority w:val="0"/>
    <w:pPr>
      <w:keepNext/>
      <w:keepLines/>
      <w:widowControl w:val="0"/>
      <w:spacing w:before="260" w:after="260" w:line="600" w:lineRule="exact"/>
      <w:ind w:firstLine="200" w:firstLineChars="200"/>
      <w:jc w:val="left"/>
      <w:outlineLvl w:val="1"/>
    </w:pPr>
    <w:rPr>
      <w:rFonts w:ascii="Arial" w:hAnsi="Arial" w:eastAsia="方正楷体_GBK"/>
      <w:sz w:val="32"/>
    </w:rPr>
  </w:style>
  <w:style w:type="paragraph" w:styleId="5">
    <w:name w:val="heading 3"/>
    <w:basedOn w:val="1"/>
    <w:next w:val="1"/>
    <w:qFormat/>
    <w:uiPriority w:val="0"/>
    <w:pPr>
      <w:keepNext/>
      <w:keepLines/>
      <w:widowControl w:val="0"/>
      <w:spacing w:before="260" w:after="260" w:line="413" w:lineRule="auto"/>
      <w:ind w:left="200" w:leftChars="200"/>
      <w:outlineLvl w:val="2"/>
    </w:pPr>
    <w:rPr>
      <w:rFonts w:ascii="Calibri" w:hAnsi="Calibri" w:eastAsia="方正仿宋_GBK"/>
      <w:sz w:val="32"/>
    </w:rPr>
  </w:style>
  <w:style w:type="character" w:default="1" w:styleId="14">
    <w:name w:val="Default Paragraph Font"/>
    <w:qFormat/>
    <w:uiPriority w:val="0"/>
  </w:style>
  <w:style w:type="table" w:default="1" w:styleId="1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6">
    <w:name w:val="toc 5"/>
    <w:basedOn w:val="1"/>
    <w:next w:val="1"/>
    <w:qFormat/>
    <w:uiPriority w:val="0"/>
    <w:pPr>
      <w:ind w:left="1680"/>
    </w:pPr>
  </w:style>
  <w:style w:type="paragraph" w:styleId="7">
    <w:name w:val="toc 3"/>
    <w:basedOn w:val="1"/>
    <w:next w:val="1"/>
    <w:uiPriority w:val="0"/>
    <w:pPr>
      <w:ind w:left="840"/>
    </w:pPr>
  </w:style>
  <w:style w:type="paragraph" w:styleId="8">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uiPriority w:val="0"/>
  </w:style>
  <w:style w:type="paragraph" w:styleId="10">
    <w:name w:val="toc 4"/>
    <w:basedOn w:val="1"/>
    <w:next w:val="1"/>
    <w:uiPriority w:val="0"/>
    <w:pPr>
      <w:ind w:left="1260"/>
    </w:pPr>
  </w:style>
  <w:style w:type="paragraph" w:styleId="11">
    <w:name w:val="toc 2"/>
    <w:basedOn w:val="1"/>
    <w:next w:val="1"/>
    <w:uiPriority w:val="0"/>
    <w:pPr>
      <w:ind w:left="420"/>
    </w:pPr>
  </w:style>
  <w:style w:type="paragraph" w:styleId="12">
    <w:name w:val="Normal (Web)"/>
    <w:basedOn w:val="1"/>
    <w:qFormat/>
    <w:uiPriority w:val="0"/>
    <w:pPr>
      <w:spacing w:beforeAutospacing="1" w:afterAutospacing="1"/>
      <w:jc w:val="left"/>
    </w:pPr>
    <w:rPr>
      <w:kern w:val="0"/>
      <w:sz w:val="24"/>
    </w:rPr>
  </w:style>
  <w:style w:type="character" w:styleId="15">
    <w:name w:val="Strong"/>
    <w:basedOn w:val="14"/>
    <w:uiPriority w:val="0"/>
    <w:rPr>
      <w:b/>
    </w:rPr>
  </w:style>
  <w:style w:type="paragraph" w:customStyle="1" w:styleId="16">
    <w:name w:val="Default"/>
    <w:next w:val="1"/>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7</Pages>
  <Words>2639</Words>
  <Characters>2765</Characters>
  <Lines>192</Lines>
  <Paragraphs>97</Paragraphs>
  <TotalTime>1</TotalTime>
  <ScaleCrop>false</ScaleCrop>
  <LinksUpToDate>false</LinksUpToDate>
  <CharactersWithSpaces>2769</CharactersWithSpaces>
  <Application>WPS Office_11.1.0.13703_F1E327BC-269C-435d-A152-05C5408002CA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2023-02-13T08:22:00Z</dcterms:created>
  <dc:creator>小脚33</dc:creator>
  <cp:lastModifiedBy>刘倩</cp:lastModifiedBy>
  <cp:lastPrinted>2023-02-16T08:14:00Z</cp:lastPrinted>
  <dcterms:modified xsi:type="dcterms:W3CDTF">2023-03-09T03:20:44Z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E06F5AAAF5344C6DA6B4DE872E1B0F9A</vt:lpwstr>
  </property>
</Properties>
</file>