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widowControl/>
        <w:adjustRightInd w:val="0"/>
        <w:snapToGrid w:val="0"/>
        <w:spacing w:beforeAutospacing="0" w:afterAutospacing="0" w:line="580" w:lineRule="exact"/>
        <w:jc w:val="center"/>
        <w:rPr>
          <w:rFonts w:ascii="Times New Roman" w:hAnsi="Times New Roman" w:eastAsia="方正小标宋_GBK"/>
          <w:sz w:val="44"/>
          <w:szCs w:val="44"/>
        </w:rPr>
      </w:pPr>
      <w:r>
        <w:rPr>
          <w:rFonts w:hint="eastAsia" w:ascii="Times New Roman" w:hAnsi="Times New Roman" w:eastAsia="方正小标宋_GBK"/>
          <w:sz w:val="44"/>
          <w:szCs w:val="44"/>
        </w:rPr>
        <w:t>第五届西洽会官网、官微运营和维护</w:t>
      </w:r>
    </w:p>
    <w:p>
      <w:pPr>
        <w:pStyle w:val="12"/>
        <w:widowControl/>
        <w:adjustRightInd w:val="0"/>
        <w:snapToGrid w:val="0"/>
        <w:spacing w:beforeAutospacing="0" w:afterAutospacing="0" w:line="580" w:lineRule="exact"/>
        <w:jc w:val="center"/>
        <w:rPr>
          <w:rFonts w:ascii="Times New Roman" w:hAnsi="Times New Roman" w:eastAsia="方正小标宋_GBK"/>
          <w:color w:val="000000"/>
          <w:sz w:val="44"/>
          <w:szCs w:val="44"/>
        </w:rPr>
      </w:pPr>
      <w:r>
        <w:rPr>
          <w:rFonts w:hint="eastAsia" w:ascii="Times New Roman" w:hAnsi="Times New Roman" w:eastAsia="方正小标宋_GBK"/>
          <w:sz w:val="44"/>
          <w:szCs w:val="44"/>
        </w:rPr>
        <w:t>相关服务</w:t>
      </w:r>
      <w:r>
        <w:rPr>
          <w:rFonts w:ascii="Times New Roman" w:hAnsi="Times New Roman" w:eastAsia="方正小标宋_GBK"/>
          <w:sz w:val="44"/>
          <w:szCs w:val="44"/>
        </w:rPr>
        <w:t>项目</w:t>
      </w:r>
      <w:r>
        <w:rPr>
          <w:rFonts w:ascii="Times New Roman" w:hAnsi="Times New Roman" w:eastAsia="方正小标宋_GBK"/>
          <w:color w:val="000000"/>
          <w:sz w:val="44"/>
          <w:szCs w:val="44"/>
        </w:rPr>
        <w:t>采购公告</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p>
    <w:p>
      <w:pPr>
        <w:pStyle w:val="12"/>
        <w:widowControl/>
        <w:adjustRightInd w:val="0"/>
        <w:snapToGrid w:val="0"/>
        <w:spacing w:beforeAutospacing="0" w:afterAutospacing="0" w:line="600" w:lineRule="exact"/>
        <w:ind w:firstLine="640" w:firstLineChars="200"/>
        <w:jc w:val="both"/>
        <w:rPr>
          <w:rFonts w:ascii="Times New Roman" w:hAnsi="Times New Roman" w:eastAsia="方正黑体_GBK"/>
          <w:sz w:val="32"/>
          <w:szCs w:val="32"/>
        </w:rPr>
      </w:pPr>
      <w:r>
        <w:rPr>
          <w:rFonts w:ascii="Times New Roman" w:hAnsi="Times New Roman" w:eastAsia="方正黑体_GBK"/>
          <w:sz w:val="32"/>
          <w:szCs w:val="32"/>
        </w:rPr>
        <w:t>一、项目名称</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Times New Roman" w:hAnsi="Times New Roman" w:eastAsia="方正仿宋_GBK"/>
          <w:kern w:val="2"/>
          <w:sz w:val="32"/>
          <w:szCs w:val="32"/>
        </w:rPr>
        <w:t>第五届西洽会官网、官微运营和维护相关服务。</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黑体_GBK"/>
          <w:sz w:val="32"/>
          <w:szCs w:val="32"/>
        </w:rPr>
      </w:pPr>
      <w:r>
        <w:rPr>
          <w:rFonts w:ascii="Times New Roman" w:hAnsi="Times New Roman" w:eastAsia="方正黑体_GBK"/>
          <w:sz w:val="32"/>
          <w:szCs w:val="32"/>
        </w:rPr>
        <w:t>二、项目预算金额</w:t>
      </w:r>
      <w:r>
        <w:rPr>
          <w:rFonts w:hint="eastAsia" w:ascii="Times New Roman" w:hAnsi="Times New Roman" w:eastAsia="方正黑体_GBK"/>
          <w:sz w:val="32"/>
          <w:szCs w:val="32"/>
        </w:rPr>
        <w:t>、报价要求及付款方式</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方正楷体_GBK" w:eastAsia="方正楷体_GBK"/>
          <w:kern w:val="2"/>
          <w:sz w:val="32"/>
          <w:szCs w:val="32"/>
        </w:rPr>
        <w:t>（一）项目预算金额</w:t>
      </w:r>
      <w:r>
        <w:rPr>
          <w:rFonts w:hint="eastAsia" w:ascii="Times New Roman" w:hAnsi="Times New Roman" w:eastAsia="方正仿宋_GBK"/>
          <w:kern w:val="2"/>
          <w:sz w:val="32"/>
          <w:szCs w:val="32"/>
        </w:rPr>
        <w:t>：</w:t>
      </w:r>
      <w:r>
        <w:rPr>
          <w:rFonts w:ascii="Times New Roman" w:hAnsi="Times New Roman" w:eastAsia="方正仿宋_GBK"/>
          <w:kern w:val="2"/>
          <w:sz w:val="32"/>
          <w:szCs w:val="32"/>
        </w:rPr>
        <w:t>人民币40万元</w:t>
      </w:r>
      <w:r>
        <w:rPr>
          <w:rFonts w:hint="eastAsia" w:ascii="Times New Roman" w:hAnsi="Times New Roman" w:eastAsia="方正仿宋_GBK"/>
          <w:kern w:val="2"/>
          <w:sz w:val="32"/>
          <w:szCs w:val="32"/>
        </w:rPr>
        <w:t>。</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方正楷体_GBK" w:eastAsia="方正楷体_GBK"/>
          <w:kern w:val="2"/>
          <w:sz w:val="32"/>
          <w:szCs w:val="32"/>
        </w:rPr>
        <w:t>（二）报价要求</w:t>
      </w:r>
      <w:r>
        <w:rPr>
          <w:rFonts w:hint="eastAsia" w:ascii="Times New Roman" w:hAnsi="Times New Roman" w:eastAsia="方正仿宋_GBK"/>
          <w:kern w:val="2"/>
          <w:sz w:val="32"/>
          <w:szCs w:val="32"/>
        </w:rPr>
        <w:t>：投标报价应包括完成项目的全部费用包括（但不限于） 组织协调费、策划设计费、搭建费、执行费、材料费、场地费、办公费、人工费、保险费、验收专家费、税费等一切费用。因中标人自身原因造成漏报、少报皆由其自行承担责任，采购人不再补偿。</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方正楷体_GBK" w:eastAsia="方正楷体_GBK"/>
          <w:kern w:val="2"/>
          <w:sz w:val="32"/>
          <w:szCs w:val="32"/>
        </w:rPr>
        <w:t>（三）付款方式</w:t>
      </w:r>
      <w:r>
        <w:rPr>
          <w:rFonts w:hint="eastAsia" w:ascii="Times New Roman" w:hAnsi="Times New Roman" w:eastAsia="方正仿宋_GBK"/>
          <w:kern w:val="2"/>
          <w:sz w:val="32"/>
          <w:szCs w:val="32"/>
        </w:rPr>
        <w:t>：合同签订后三天内由中标人提供足额增值税发票，并经采购人确定的跟审单位确认，采购人按资金审批流程支付合同金额的40%；中标人按采购合同完成所有工作内容、提交项目成果资料（包括但不限于文字资料、图片资料、影像资料、数据统计等），由跟审单位完成项目绩效评价，项目终验后的一个月内按照跟审单位确认的金额由中标人提供足额增值税发票后，采购人按资金审批流程支付剩余尾款。</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黑体_GBK"/>
          <w:sz w:val="32"/>
          <w:szCs w:val="32"/>
        </w:rPr>
      </w:pPr>
      <w:r>
        <w:rPr>
          <w:rFonts w:ascii="Times New Roman" w:hAnsi="Times New Roman" w:eastAsia="方正黑体_GBK"/>
          <w:sz w:val="32"/>
          <w:szCs w:val="32"/>
        </w:rPr>
        <w:t>三、项目主要内容及要求</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楷体_GBK"/>
          <w:sz w:val="32"/>
          <w:szCs w:val="32"/>
        </w:rPr>
      </w:pPr>
      <w:r>
        <w:rPr>
          <w:rFonts w:ascii="Times New Roman" w:hAnsi="Times New Roman" w:eastAsia="方正楷体_GBK"/>
          <w:sz w:val="32"/>
          <w:szCs w:val="32"/>
        </w:rPr>
        <w:t>（一）西洽会官网运营</w:t>
      </w:r>
    </w:p>
    <w:p>
      <w:pPr>
        <w:adjustRightInd w:val="0"/>
        <w:snapToGrid w:val="0"/>
        <w:spacing w:line="600" w:lineRule="exact"/>
        <w:ind w:left="0"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ascii="方正仿宋_GBK" w:eastAsia="方正仿宋_GBK"/>
          <w:b/>
          <w:bCs/>
          <w:sz w:val="32"/>
          <w:szCs w:val="32"/>
        </w:rPr>
        <w:t>．</w:t>
      </w:r>
      <w:r>
        <w:rPr>
          <w:rFonts w:ascii="Times New Roman" w:hAnsi="Times New Roman" w:eastAsia="方正仿宋_GBK"/>
          <w:sz w:val="32"/>
          <w:szCs w:val="32"/>
        </w:rPr>
        <w:t>官网基础信息管理。（1）官网栏目调整，日常运维</w:t>
      </w:r>
      <w:r>
        <w:rPr>
          <w:rFonts w:hint="eastAsia" w:ascii="Times New Roman" w:hAnsi="Times New Roman" w:eastAsia="方正仿宋_GBK"/>
          <w:sz w:val="32"/>
          <w:szCs w:val="32"/>
        </w:rPr>
        <w:t>。</w:t>
      </w:r>
      <w:r>
        <w:rPr>
          <w:rFonts w:ascii="Times New Roman" w:hAnsi="Times New Roman" w:eastAsia="方正仿宋_GBK"/>
          <w:sz w:val="32"/>
          <w:szCs w:val="32"/>
        </w:rPr>
        <w:t>（2）信息发布，包括但不限于展会动态、行业动态、展商动态、政策解读、通知公告；服务期限内不少于300条内容更新。（3）通过百度搜索保持西洽会官网官方标志。</w:t>
      </w:r>
    </w:p>
    <w:p>
      <w:pPr>
        <w:pStyle w:val="2"/>
        <w:adjustRightInd w:val="0"/>
        <w:snapToGrid w:val="0"/>
        <w:spacing w:line="600" w:lineRule="exact"/>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rPr>
        <w:t>2</w:t>
      </w:r>
      <w:r>
        <w:rPr>
          <w:rFonts w:ascii="方正仿宋_GBK" w:eastAsia="方正仿宋_GBK"/>
          <w:b/>
          <w:bCs/>
          <w:sz w:val="32"/>
          <w:szCs w:val="32"/>
        </w:rPr>
        <w:t>．</w:t>
      </w:r>
      <w:r>
        <w:rPr>
          <w:rFonts w:ascii="Times New Roman" w:hAnsi="Times New Roman" w:eastAsia="方正仿宋_GBK"/>
          <w:sz w:val="32"/>
          <w:szCs w:val="32"/>
        </w:rPr>
        <w:t>参展企业信息更新。（1）根据执委会提供的参展商名录，收集企业图片、logo、简介等信息。（2）收集整理并发布展商企业信息不少于100条。</w:t>
      </w:r>
    </w:p>
    <w:p>
      <w:pPr>
        <w:pStyle w:val="2"/>
        <w:adjustRightInd w:val="0"/>
        <w:snapToGrid w:val="0"/>
        <w:spacing w:line="600" w:lineRule="exact"/>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rPr>
        <w:t>3</w:t>
      </w:r>
      <w:r>
        <w:rPr>
          <w:rFonts w:ascii="方正仿宋_GBK" w:eastAsia="方正仿宋_GBK"/>
          <w:b/>
          <w:bCs/>
          <w:sz w:val="32"/>
          <w:szCs w:val="32"/>
        </w:rPr>
        <w:t>．</w:t>
      </w:r>
      <w:r>
        <w:rPr>
          <w:rFonts w:ascii="Times New Roman" w:hAnsi="Times New Roman" w:eastAsia="方正仿宋_GBK"/>
          <w:sz w:val="32"/>
          <w:szCs w:val="32"/>
        </w:rPr>
        <w:t>官网咨询通道管理及回复。（1）开通电话问询及参展问答服务。（2）</w:t>
      </w:r>
      <w:r>
        <w:rPr>
          <w:rFonts w:hint="eastAsia" w:ascii="Times New Roman" w:hAnsi="Times New Roman" w:eastAsia="方正仿宋_GBK"/>
          <w:sz w:val="32"/>
          <w:szCs w:val="32"/>
        </w:rPr>
        <w:t>“</w:t>
      </w:r>
      <w:r>
        <w:rPr>
          <w:rFonts w:ascii="Times New Roman" w:hAnsi="Times New Roman" w:eastAsia="方正仿宋_GBK"/>
          <w:sz w:val="32"/>
          <w:szCs w:val="32"/>
        </w:rPr>
        <w:t>参展问答</w:t>
      </w:r>
      <w:r>
        <w:rPr>
          <w:rFonts w:hint="eastAsia" w:ascii="Times New Roman" w:hAnsi="Times New Roman" w:eastAsia="方正仿宋_GBK"/>
          <w:sz w:val="32"/>
          <w:szCs w:val="32"/>
        </w:rPr>
        <w:t>”</w:t>
      </w:r>
      <w:r>
        <w:rPr>
          <w:rFonts w:ascii="Times New Roman" w:hAnsi="Times New Roman" w:eastAsia="方正仿宋_GBK"/>
          <w:sz w:val="32"/>
          <w:szCs w:val="32"/>
        </w:rPr>
        <w:t>栏目相应咨询发布与管理。</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楷体_GBK"/>
          <w:sz w:val="32"/>
          <w:szCs w:val="32"/>
        </w:rPr>
        <w:t>4</w:t>
      </w:r>
      <w:r>
        <w:rPr>
          <w:rFonts w:ascii="方正仿宋_GBK" w:eastAsia="方正仿宋_GBK"/>
          <w:b/>
          <w:bCs/>
          <w:sz w:val="32"/>
          <w:szCs w:val="32"/>
        </w:rPr>
        <w:t>．</w:t>
      </w:r>
      <w:r>
        <w:rPr>
          <w:rFonts w:ascii="Times New Roman" w:hAnsi="Times New Roman" w:eastAsia="方正仿宋_GBK"/>
          <w:sz w:val="32"/>
          <w:szCs w:val="32"/>
        </w:rPr>
        <w:t>图片设计与制作。设计制作西洽会官网及公众号相关图片，包括但不限于海报、背景等其他美工设计，图片不少于10张。</w:t>
      </w:r>
    </w:p>
    <w:p>
      <w:pPr>
        <w:pStyle w:val="2"/>
        <w:adjustRightInd w:val="0"/>
        <w:snapToGrid w:val="0"/>
        <w:spacing w:line="600" w:lineRule="exact"/>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rPr>
        <w:t>5</w:t>
      </w:r>
      <w:r>
        <w:rPr>
          <w:rFonts w:ascii="方正仿宋_GBK" w:eastAsia="方正仿宋_GBK"/>
          <w:b/>
          <w:bCs/>
          <w:sz w:val="32"/>
          <w:szCs w:val="32"/>
        </w:rPr>
        <w:t>．</w:t>
      </w:r>
      <w:r>
        <w:rPr>
          <w:rFonts w:ascii="Times New Roman" w:hAnsi="Times New Roman" w:eastAsia="方正仿宋_GBK"/>
          <w:sz w:val="32"/>
          <w:szCs w:val="32"/>
        </w:rPr>
        <w:t>官网手机端页面管理及信息同步。（1）负责手机端页面管理，日常运维。（2）根据执委办要求，收集整理信息以同步官网内容更新。</w:t>
      </w:r>
    </w:p>
    <w:p>
      <w:pPr>
        <w:adjustRightInd w:val="0"/>
        <w:snapToGrid w:val="0"/>
        <w:spacing w:line="60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（二）西洽会公众号运营</w:t>
      </w:r>
    </w:p>
    <w:p>
      <w:pPr>
        <w:widowControl/>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ascii="方正仿宋_GBK" w:eastAsia="方正仿宋_GBK"/>
          <w:b/>
          <w:bCs/>
          <w:sz w:val="32"/>
          <w:szCs w:val="32"/>
        </w:rPr>
        <w:t>．</w:t>
      </w:r>
      <w:r>
        <w:rPr>
          <w:rFonts w:ascii="Times New Roman" w:hAnsi="Times New Roman" w:eastAsia="方正仿宋_GBK"/>
          <w:sz w:val="32"/>
          <w:szCs w:val="32"/>
        </w:rPr>
        <w:t>公众号信息管理。（1）负责公众号栏目调整，日常运维。（2）根据执委办要求，收集整理及信息发布不少于100条内容更新。内容包括但不限于展会动态、行业动态、展商动态、政策解读、通知公告等。（3）根据发布内容，对标题、文本添加动画效果等浏览模块。（4）根据发布内容匹配、收集、制作公众号首图和缩略图。（5）将发布的信息归类、汇总形成合集，便于搜索。（6）将收集的信息通过图文结合的方式，配合西洽会统一宣传规划，全方位、集中式的更新发布最新资讯，便于朋友圈、社群、融媒体等渠道多方向宣传。（7）保持微信公众号</w:t>
      </w:r>
      <w:r>
        <w:rPr>
          <w:rFonts w:hint="eastAsia" w:ascii="Times New Roman" w:hAnsi="Times New Roman" w:eastAsia="方正仿宋_GBK"/>
          <w:sz w:val="32"/>
          <w:szCs w:val="32"/>
        </w:rPr>
        <w:t>“</w:t>
      </w:r>
      <w:r>
        <w:rPr>
          <w:rFonts w:ascii="Times New Roman" w:hAnsi="Times New Roman" w:eastAsia="方正仿宋_GBK"/>
          <w:sz w:val="32"/>
          <w:szCs w:val="32"/>
        </w:rPr>
        <w:t>蓝标</w:t>
      </w:r>
      <w:r>
        <w:rPr>
          <w:rFonts w:hint="eastAsia" w:ascii="Times New Roman" w:hAnsi="Times New Roman" w:eastAsia="方正仿宋_GBK"/>
          <w:sz w:val="32"/>
          <w:szCs w:val="32"/>
        </w:rPr>
        <w:t>”</w:t>
      </w:r>
      <w:r>
        <w:rPr>
          <w:rFonts w:ascii="Times New Roman" w:hAnsi="Times New Roman" w:eastAsia="方正仿宋_GBK"/>
          <w:sz w:val="32"/>
          <w:szCs w:val="32"/>
        </w:rPr>
        <w:t>官方主体认证。</w:t>
      </w:r>
    </w:p>
    <w:p>
      <w:pPr>
        <w:pStyle w:val="2"/>
        <w:adjustRightInd w:val="0"/>
        <w:snapToGrid w:val="0"/>
        <w:spacing w:line="600" w:lineRule="exact"/>
        <w:ind w:firstLine="640" w:firstLineChars="200"/>
        <w:jc w:val="both"/>
        <w:rPr>
          <w:rFonts w:ascii="Times New Roman" w:hAnsi="Times New Roman"/>
          <w:sz w:val="32"/>
          <w:szCs w:val="32"/>
        </w:rPr>
      </w:pPr>
      <w:r>
        <w:rPr>
          <w:rFonts w:ascii="Times New Roman" w:hAnsi="Times New Roman" w:eastAsia="方正仿宋_GBK"/>
          <w:sz w:val="32"/>
          <w:szCs w:val="32"/>
        </w:rPr>
        <w:t>2</w:t>
      </w:r>
      <w:r>
        <w:rPr>
          <w:rFonts w:ascii="方正仿宋_GBK" w:eastAsia="方正仿宋_GBK"/>
          <w:b/>
          <w:bCs/>
          <w:sz w:val="32"/>
          <w:szCs w:val="32"/>
        </w:rPr>
        <w:t>．</w:t>
      </w:r>
      <w:r>
        <w:rPr>
          <w:rFonts w:ascii="Times New Roman" w:hAnsi="Times New Roman" w:eastAsia="方正仿宋_GBK"/>
          <w:sz w:val="32"/>
          <w:szCs w:val="32"/>
        </w:rPr>
        <w:t>原创稿件撰写。根据执委办要求撰写、发布原创稿件不少于8篇。</w:t>
      </w:r>
    </w:p>
    <w:p>
      <w:pPr>
        <w:pStyle w:val="2"/>
        <w:adjustRightInd w:val="0"/>
        <w:snapToGrid w:val="0"/>
        <w:spacing w:line="600" w:lineRule="exact"/>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rPr>
        <w:t>3</w:t>
      </w:r>
      <w:r>
        <w:rPr>
          <w:rFonts w:ascii="方正仿宋_GBK" w:eastAsia="方正仿宋_GBK"/>
          <w:b/>
          <w:bCs/>
          <w:sz w:val="32"/>
          <w:szCs w:val="32"/>
        </w:rPr>
        <w:t>．</w:t>
      </w:r>
      <w:r>
        <w:rPr>
          <w:rFonts w:ascii="Times New Roman" w:hAnsi="Times New Roman" w:eastAsia="方正仿宋_GBK"/>
          <w:sz w:val="32"/>
          <w:szCs w:val="32"/>
        </w:rPr>
        <w:t>公众号咨询回复。负责官微粉丝问讯，咨询发布与管理等。</w:t>
      </w:r>
    </w:p>
    <w:p>
      <w:pPr>
        <w:pStyle w:val="2"/>
        <w:adjustRightInd w:val="0"/>
        <w:snapToGrid w:val="0"/>
        <w:spacing w:line="600" w:lineRule="exact"/>
        <w:ind w:firstLine="640" w:firstLineChars="200"/>
        <w:jc w:val="both"/>
        <w:rPr>
          <w:rFonts w:ascii="Times New Roman" w:hAnsi="Times New Roman" w:eastAsia="方正楷体_GBK"/>
          <w:sz w:val="32"/>
          <w:szCs w:val="32"/>
        </w:rPr>
      </w:pPr>
      <w:r>
        <w:rPr>
          <w:rFonts w:ascii="Times New Roman" w:hAnsi="Times New Roman" w:eastAsia="方正楷体_GBK"/>
          <w:sz w:val="32"/>
          <w:szCs w:val="32"/>
        </w:rPr>
        <w:t>（</w:t>
      </w:r>
      <w:r>
        <w:rPr>
          <w:rFonts w:hint="eastAsia" w:ascii="Times New Roman" w:hAnsi="Times New Roman" w:eastAsia="方正楷体_GBK"/>
          <w:sz w:val="32"/>
          <w:szCs w:val="32"/>
        </w:rPr>
        <w:t>三</w:t>
      </w:r>
      <w:r>
        <w:rPr>
          <w:rFonts w:ascii="Times New Roman" w:hAnsi="Times New Roman" w:eastAsia="方正楷体_GBK"/>
          <w:sz w:val="32"/>
          <w:szCs w:val="32"/>
        </w:rPr>
        <w:t>）西洽会满意度调查及展商动态回访</w:t>
      </w:r>
    </w:p>
    <w:p>
      <w:pPr>
        <w:widowControl/>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1</w:t>
      </w:r>
      <w:r>
        <w:rPr>
          <w:rFonts w:ascii="方正仿宋_GBK" w:eastAsia="方正仿宋_GBK"/>
          <w:b/>
          <w:bCs/>
          <w:sz w:val="32"/>
          <w:szCs w:val="32"/>
        </w:rPr>
        <w:t>．</w:t>
      </w:r>
      <w:r>
        <w:rPr>
          <w:rFonts w:ascii="Times New Roman" w:hAnsi="Times New Roman" w:eastAsia="方正仿宋_GBK"/>
          <w:sz w:val="32"/>
          <w:szCs w:val="32"/>
        </w:rPr>
        <w:t>问卷及表格设计。根据展会性质及被调查人员设计制定问</w:t>
      </w:r>
      <w:r>
        <w:rPr>
          <w:rFonts w:hint="eastAsia" w:ascii="Times New Roman" w:hAnsi="Times New Roman" w:eastAsia="方正仿宋_GBK"/>
          <w:sz w:val="32"/>
          <w:szCs w:val="32"/>
        </w:rPr>
        <w:t>卷</w:t>
      </w:r>
      <w:r>
        <w:rPr>
          <w:rFonts w:ascii="Times New Roman" w:hAnsi="Times New Roman" w:eastAsia="方正仿宋_GBK"/>
          <w:sz w:val="32"/>
          <w:szCs w:val="32"/>
        </w:rPr>
        <w:t>内容，调查内容应包括调查对象信息、展馆设施调查、接待调查、信息通知调查等有关展会的内容。</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w:t>
      </w:r>
      <w:r>
        <w:rPr>
          <w:rFonts w:ascii="方正仿宋_GBK" w:eastAsia="方正仿宋_GBK"/>
          <w:b/>
          <w:bCs/>
          <w:sz w:val="32"/>
          <w:szCs w:val="32"/>
        </w:rPr>
        <w:t>．</w:t>
      </w:r>
      <w:r>
        <w:rPr>
          <w:rFonts w:ascii="Times New Roman" w:hAnsi="Times New Roman" w:eastAsia="方正仿宋_GBK"/>
          <w:sz w:val="32"/>
          <w:szCs w:val="32"/>
        </w:rPr>
        <w:t>现场调查。通过多样化的调查方式多渠道调查，收集充分真实的数据，企业样本不少于100家，观众样本不少于500人，样本回收率不低于80%。</w:t>
      </w:r>
    </w:p>
    <w:p>
      <w:pPr>
        <w:pStyle w:val="2"/>
        <w:adjustRightInd w:val="0"/>
        <w:snapToGrid w:val="0"/>
        <w:spacing w:line="600" w:lineRule="exact"/>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rPr>
        <w:t>3</w:t>
      </w:r>
      <w:r>
        <w:rPr>
          <w:rFonts w:ascii="方正仿宋_GBK" w:eastAsia="方正仿宋_GBK"/>
          <w:b/>
          <w:bCs/>
          <w:sz w:val="32"/>
          <w:szCs w:val="32"/>
        </w:rPr>
        <w:t>．</w:t>
      </w:r>
      <w:r>
        <w:rPr>
          <w:rFonts w:ascii="Times New Roman" w:hAnsi="Times New Roman" w:eastAsia="方正仿宋_GBK"/>
          <w:sz w:val="32"/>
          <w:szCs w:val="32"/>
        </w:rPr>
        <w:t>数据整理及报告编印。（1）将问卷收集企业信息、参展商联系方式整理成册。（2）通过问卷调查整理制作形成调查报告。</w:t>
      </w:r>
    </w:p>
    <w:p>
      <w:pPr>
        <w:pStyle w:val="2"/>
        <w:adjustRightInd w:val="0"/>
        <w:snapToGrid w:val="0"/>
        <w:spacing w:line="600" w:lineRule="exact"/>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rPr>
        <w:t>4</w:t>
      </w:r>
      <w:r>
        <w:rPr>
          <w:rFonts w:ascii="方正仿宋_GBK" w:eastAsia="方正仿宋_GBK"/>
          <w:b/>
          <w:bCs/>
          <w:sz w:val="32"/>
          <w:szCs w:val="32"/>
        </w:rPr>
        <w:t>．</w:t>
      </w:r>
      <w:r>
        <w:rPr>
          <w:rFonts w:ascii="Times New Roman" w:hAnsi="Times New Roman" w:eastAsia="方正仿宋_GBK"/>
          <w:sz w:val="32"/>
          <w:szCs w:val="32"/>
        </w:rPr>
        <w:t>调查回访。展会结束1个月内，根据执委会提供的项目信息及重要央企、国企、重要嘉宾等信息进行调查回访，回访记录整理成册。</w:t>
      </w:r>
    </w:p>
    <w:p>
      <w:pPr>
        <w:adjustRightInd w:val="0"/>
        <w:snapToGrid w:val="0"/>
        <w:spacing w:line="60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w:t>
      </w:r>
      <w:r>
        <w:rPr>
          <w:rFonts w:hint="eastAsia" w:ascii="Times New Roman" w:hAnsi="Times New Roman" w:eastAsia="方正楷体_GBK"/>
          <w:sz w:val="32"/>
          <w:szCs w:val="32"/>
        </w:rPr>
        <w:t>四</w:t>
      </w:r>
      <w:r>
        <w:rPr>
          <w:rFonts w:ascii="Times New Roman" w:hAnsi="Times New Roman" w:eastAsia="方正楷体_GBK"/>
          <w:sz w:val="32"/>
          <w:szCs w:val="32"/>
        </w:rPr>
        <w:t>）等保备案及技术运维</w:t>
      </w:r>
    </w:p>
    <w:p>
      <w:pPr>
        <w:pStyle w:val="3"/>
        <w:adjustRightInd w:val="0"/>
        <w:snapToGrid w:val="0"/>
        <w:spacing w:beforeAutospacing="0" w:afterAutospacing="0" w:line="600" w:lineRule="exact"/>
        <w:ind w:left="0" w:leftChars="0" w:firstLine="640" w:firstLineChars="200"/>
        <w:jc w:val="both"/>
        <w:rPr>
          <w:rFonts w:ascii="Times New Roman" w:hAnsi="Times New Roman" w:eastAsia="方正仿宋_GBK"/>
          <w:b w:val="0"/>
          <w:bCs w:val="0"/>
          <w:kern w:val="2"/>
          <w:szCs w:val="32"/>
        </w:rPr>
      </w:pPr>
      <w:r>
        <w:rPr>
          <w:rFonts w:ascii="Times New Roman" w:hAnsi="Times New Roman" w:eastAsia="方正仿宋_GBK"/>
          <w:b w:val="0"/>
          <w:bCs w:val="0"/>
          <w:kern w:val="2"/>
          <w:szCs w:val="32"/>
        </w:rPr>
        <w:t>1</w:t>
      </w:r>
      <w:r>
        <w:rPr>
          <w:rFonts w:ascii="方正仿宋_GBK" w:eastAsia="方正仿宋_GBK"/>
          <w:b w:val="0"/>
          <w:bCs w:val="0"/>
          <w:kern w:val="2"/>
          <w:szCs w:val="32"/>
        </w:rPr>
        <w:t>．</w:t>
      </w:r>
      <w:r>
        <w:rPr>
          <w:rFonts w:ascii="Times New Roman" w:hAnsi="Times New Roman" w:eastAsia="方正仿宋_GBK"/>
          <w:b w:val="0"/>
          <w:bCs w:val="0"/>
          <w:kern w:val="2"/>
          <w:szCs w:val="32"/>
        </w:rPr>
        <w:t>西洽会官网3级等保。根据国家《信息系统安全等级保护实施指南》等一系列相关文件要求，开展网站等保备案。</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2</w:t>
      </w:r>
      <w:r>
        <w:rPr>
          <w:rFonts w:ascii="方正仿宋_GBK" w:eastAsia="方正仿宋_GBK"/>
          <w:b/>
          <w:bCs/>
          <w:sz w:val="32"/>
          <w:szCs w:val="32"/>
        </w:rPr>
        <w:t>．</w:t>
      </w:r>
      <w:r>
        <w:rPr>
          <w:rFonts w:ascii="Times New Roman" w:hAnsi="Times New Roman" w:eastAsia="方正仿宋_GBK"/>
          <w:sz w:val="32"/>
          <w:szCs w:val="32"/>
        </w:rPr>
        <w:t>技术运维。保障网站正常运行，系统运维、远程优化、操作指导、服务器巡检、漏洞修复、数据备份等，开展期间提供技术人员驻场服务。</w:t>
      </w:r>
    </w:p>
    <w:p>
      <w:pPr>
        <w:adjustRightInd w:val="0"/>
        <w:snapToGrid w:val="0"/>
        <w:spacing w:line="60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w:t>
      </w:r>
      <w:r>
        <w:rPr>
          <w:rFonts w:hint="eastAsia" w:ascii="Times New Roman" w:hAnsi="Times New Roman" w:eastAsia="方正楷体_GBK"/>
          <w:sz w:val="32"/>
          <w:szCs w:val="32"/>
        </w:rPr>
        <w:t>五</w:t>
      </w:r>
      <w:r>
        <w:rPr>
          <w:rFonts w:ascii="Times New Roman" w:hAnsi="Times New Roman" w:eastAsia="方正楷体_GBK"/>
          <w:sz w:val="32"/>
          <w:szCs w:val="32"/>
        </w:rPr>
        <w:t>）服务期限要求</w:t>
      </w:r>
    </w:p>
    <w:p>
      <w:pPr>
        <w:pStyle w:val="2"/>
        <w:adjustRightInd w:val="0"/>
        <w:snapToGrid w:val="0"/>
        <w:spacing w:line="600" w:lineRule="exact"/>
        <w:ind w:firstLine="640" w:firstLineChars="200"/>
        <w:jc w:val="both"/>
        <w:rPr>
          <w:rFonts w:ascii="Times New Roman" w:hAnsi="Times New Roman" w:eastAsia="方正仿宋_GBK"/>
          <w:sz w:val="32"/>
          <w:szCs w:val="32"/>
        </w:rPr>
      </w:pPr>
      <w:r>
        <w:rPr>
          <w:rFonts w:hint="eastAsia" w:ascii="Times New Roman" w:hAnsi="Times New Roman" w:eastAsia="方正仿宋_GBK"/>
          <w:sz w:val="32"/>
          <w:szCs w:val="32"/>
        </w:rPr>
        <w:t>第五届西洽会</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黑体_GBK"/>
          <w:kern w:val="2"/>
          <w:sz w:val="32"/>
          <w:szCs w:val="32"/>
        </w:rPr>
      </w:pPr>
      <w:r>
        <w:rPr>
          <w:rFonts w:ascii="Times New Roman" w:hAnsi="Times New Roman" w:eastAsia="方正黑体_GBK"/>
          <w:sz w:val="32"/>
          <w:szCs w:val="32"/>
        </w:rPr>
        <w:t>四、供应商资格条件</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供应商是指向采购人提供服务或者货物的法人、其他组织或者自然人。按照政府采购法第二十二条规定，供应商应当具备下列条件</w:t>
      </w:r>
      <w:r>
        <w:rPr>
          <w:rFonts w:hint="eastAsia" w:ascii="Times New Roman" w:hAnsi="Times New Roman" w:eastAsia="方正仿宋_GBK"/>
          <w:kern w:val="2"/>
          <w:sz w:val="32"/>
          <w:szCs w:val="32"/>
        </w:rPr>
        <w:t>。</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（一）具有独立承担民事责任的能力</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（二）具有良好的商业信誉和健全的财务会计制度</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（三）具有履行合同所必需的设备和专业技术能力</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（四）具有依法缴纳税收的良好记录</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（五）参加政府采购活动前三年内，在经营活动中没有重大违法记录</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（六）法律、行政法规规定的其他条件</w:t>
      </w:r>
    </w:p>
    <w:p>
      <w:pPr>
        <w:pStyle w:val="12"/>
        <w:widowControl/>
        <w:adjustRightInd w:val="0"/>
        <w:snapToGrid w:val="0"/>
        <w:spacing w:beforeAutospacing="0" w:afterAutospacing="0" w:line="60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五、评审标准</w:t>
      </w:r>
    </w:p>
    <w:tbl>
      <w:tblPr>
        <w:tblStyle w:val="13"/>
        <w:tblW w:w="9399"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15" w:type="dxa"/>
          <w:left w:w="15" w:type="dxa"/>
          <w:bottom w:w="15" w:type="dxa"/>
          <w:right w:w="15" w:type="dxa"/>
        </w:tblCellMar>
      </w:tblPr>
      <w:tblGrid>
        <w:gridCol w:w="683"/>
        <w:gridCol w:w="900"/>
        <w:gridCol w:w="570"/>
        <w:gridCol w:w="5413"/>
        <w:gridCol w:w="183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szCs w:val="28"/>
              </w:rPr>
            </w:pPr>
            <w:r>
              <w:rPr>
                <w:rFonts w:hint="eastAsia" w:ascii="方正黑体_GBK" w:eastAsia="方正黑体_GBK"/>
                <w:szCs w:val="28"/>
              </w:rPr>
              <w:t>序号</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szCs w:val="28"/>
              </w:rPr>
            </w:pPr>
            <w:r>
              <w:rPr>
                <w:rFonts w:hint="eastAsia" w:ascii="方正黑体_GBK" w:eastAsia="方正黑体_GBK"/>
                <w:szCs w:val="28"/>
              </w:rPr>
              <w:t>评分因素权重</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szCs w:val="28"/>
              </w:rPr>
            </w:pPr>
            <w:r>
              <w:rPr>
                <w:rFonts w:hint="eastAsia" w:ascii="方正黑体_GBK" w:eastAsia="方正黑体_GBK"/>
                <w:szCs w:val="28"/>
              </w:rPr>
              <w:t> 分值</w:t>
            </w:r>
          </w:p>
        </w:tc>
        <w:tc>
          <w:tcPr>
            <w:tcW w:w="541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szCs w:val="28"/>
              </w:rPr>
            </w:pPr>
            <w:r>
              <w:rPr>
                <w:rFonts w:hint="eastAsia" w:ascii="方正黑体_GBK" w:eastAsia="方正黑体_GBK"/>
                <w:szCs w:val="28"/>
              </w:rPr>
              <w:t>评分标准</w:t>
            </w:r>
          </w:p>
        </w:tc>
        <w:tc>
          <w:tcPr>
            <w:tcW w:w="183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szCs w:val="28"/>
              </w:rPr>
            </w:pPr>
            <w:r>
              <w:rPr>
                <w:rFonts w:hint="eastAsia" w:ascii="方正黑体_GBK" w:eastAsia="方正黑体_GBK"/>
                <w:szCs w:val="28"/>
              </w:rPr>
              <w:t>说明</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1</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磋商报价</w:t>
            </w:r>
          </w:p>
          <w:p>
            <w:pPr>
              <w:adjustRightInd w:val="0"/>
              <w:snapToGrid w:val="0"/>
              <w:jc w:val="center"/>
              <w:rPr>
                <w:rFonts w:ascii="方正仿宋_GBK" w:eastAsia="方正仿宋_GBK"/>
                <w:szCs w:val="28"/>
              </w:rPr>
            </w:pPr>
            <w:r>
              <w:rPr>
                <w:rFonts w:hint="eastAsia" w:ascii="方正仿宋_GBK" w:eastAsia="方正仿宋_GBK"/>
                <w:szCs w:val="28"/>
              </w:rPr>
              <w:t>（20%）</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20</w:t>
            </w:r>
          </w:p>
        </w:tc>
        <w:tc>
          <w:tcPr>
            <w:tcW w:w="5413"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szCs w:val="28"/>
              </w:rPr>
            </w:pPr>
            <w:r>
              <w:rPr>
                <w:rFonts w:hint="eastAsia" w:ascii="方正仿宋_GBK" w:eastAsia="方正仿宋_GBK"/>
                <w:szCs w:val="28"/>
              </w:rPr>
              <w:t>满足资格性、符合性要求且最后报价最低的供应商的价格为磋商基准价，其价格分为满分。其他供应商的价格分统一按照下列公式计算：</w:t>
            </w:r>
          </w:p>
          <w:p>
            <w:pPr>
              <w:adjustRightInd w:val="0"/>
              <w:snapToGrid w:val="0"/>
              <w:rPr>
                <w:rFonts w:ascii="方正仿宋_GBK" w:eastAsia="方正仿宋_GBK"/>
                <w:szCs w:val="28"/>
              </w:rPr>
            </w:pPr>
            <w:r>
              <w:rPr>
                <w:rFonts w:hint="eastAsia" w:ascii="方正仿宋_GBK" w:eastAsia="方正仿宋_GBK"/>
                <w:szCs w:val="28"/>
              </w:rPr>
              <w:t>磋商报价得分=（磋商基准价/最后磋商报价）×价格权值×100</w:t>
            </w:r>
          </w:p>
        </w:tc>
        <w:tc>
          <w:tcPr>
            <w:tcW w:w="1833" w:type="dxa"/>
            <w:tcBorders>
              <w:tl2br w:val="nil"/>
              <w:tr2bl w:val="nil"/>
            </w:tcBorders>
            <w:shd w:val="clear" w:color="auto" w:fill="auto"/>
            <w:tcMar>
              <w:top w:w="0" w:type="dxa"/>
              <w:left w:w="0" w:type="dxa"/>
              <w:bottom w:w="0" w:type="dxa"/>
              <w:right w:w="0" w:type="dxa"/>
            </w:tcMar>
            <w:vAlign w:val="center"/>
          </w:tcPr>
          <w:p>
            <w:pPr>
              <w:pStyle w:val="2"/>
              <w:numPr>
                <w:ilvl w:val="0"/>
                <w:numId w:val="1"/>
              </w:numPr>
              <w:adjustRightInd w:val="0"/>
              <w:snapToGrid w:val="0"/>
              <w:jc w:val="both"/>
              <w:rPr>
                <w:rFonts w:ascii="方正仿宋_GBK" w:eastAsia="方正仿宋_GBK"/>
                <w:sz w:val="28"/>
                <w:szCs w:val="28"/>
              </w:rPr>
            </w:pPr>
            <w:r>
              <w:rPr>
                <w:rFonts w:hint="eastAsia" w:ascii="方正仿宋_GBK" w:eastAsia="方正仿宋_GBK"/>
                <w:sz w:val="28"/>
                <w:szCs w:val="28"/>
              </w:rPr>
              <w:t xml:space="preserve">对小型和微型企业产品的价格给予6%-10%的扣除，用扣除后的价格参与评审。                                                                                                                                                                                                                                                                                                                                                                                                                                                                                                                                                                                                                                                                                                                                                                                                                                                                                                                                                                                                                                                                                                                                                                                                                                                                                                                                                                                                                                                                                                                                                                                                                                                                                                                                                                                                                                                                                                                                                                                                                                                                                                                                                                                                                                                                                                                                                                                                                                                                                                                                                                                                                                                                                                                                                                                                                                                                                                                                                                                                                                                                                                                                                                                                                                                                                                                                                                                                                                                                                                                                                                                                                                                                                                                                                                                                                                                                                                                                                                                                                                                                                                                                                                           </w:t>
            </w:r>
            <w:r>
              <w:rPr>
                <w:rFonts w:hint="eastAsia" w:ascii="方正仿宋_GBK" w:eastAsia="方正仿宋_GBK"/>
                <w:sz w:val="28"/>
                <w:szCs w:val="28"/>
              </w:rPr>
              <w:t xml:space="preserve">                                                                                                                                                                                                                                                                                                                                                                                                                                                                                                                                                                                                                                                                                                                                                                                                                                                                                                                                                                                                                                                                                                                                                                                                                                                                                                                                                                                                                                                                                                                                                                                                                                                                                                                                                                                                                                                                                                                                                                                                                                                                                                                                                                                                                                                                                                                                                                                                                                                                                                                                                                                                                                                                                                                                                                                                                                                                                                                                                                                                                                                                                                                                                                                                                                                                                                                                                                                                                                                                                                                                                                                                                                                                                                                                                                                                                                                                                                                                                                                                                                                                                                                                                                                                                </w:t>
            </w:r>
            <w:r>
              <w:rPr>
                <w:rFonts w:hint="eastAsia" w:ascii="方正仿宋_GBK" w:eastAsia="方正仿宋_GBK"/>
                <w:sz w:val="28"/>
                <w:szCs w:val="28"/>
              </w:rPr>
              <w:t xml:space="preserve">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rPr>
          <w:trHeight w:val="2895" w:hRule="atLeast"/>
        </w:trPr>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2</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服务部分</w:t>
            </w:r>
          </w:p>
          <w:p>
            <w:pPr>
              <w:adjustRightInd w:val="0"/>
              <w:snapToGrid w:val="0"/>
              <w:jc w:val="center"/>
              <w:rPr>
                <w:rFonts w:ascii="方正仿宋_GBK" w:eastAsia="方正仿宋_GBK"/>
                <w:szCs w:val="28"/>
              </w:rPr>
            </w:pPr>
            <w:r>
              <w:rPr>
                <w:rFonts w:hint="eastAsia" w:ascii="方正仿宋_GBK" w:eastAsia="方正仿宋_GBK"/>
                <w:szCs w:val="28"/>
              </w:rPr>
              <w:t>（60%）</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60</w:t>
            </w:r>
          </w:p>
        </w:tc>
        <w:tc>
          <w:tcPr>
            <w:tcW w:w="5413"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szCs w:val="28"/>
              </w:rPr>
            </w:pPr>
            <w:r>
              <w:rPr>
                <w:rFonts w:hint="eastAsia" w:ascii="方正仿宋_GBK" w:eastAsia="方正仿宋_GBK"/>
                <w:szCs w:val="28"/>
              </w:rPr>
              <w:t>1．官网运营方案（共20分）</w:t>
            </w:r>
          </w:p>
          <w:p>
            <w:pPr>
              <w:adjustRightInd w:val="0"/>
              <w:snapToGrid w:val="0"/>
              <w:rPr>
                <w:rFonts w:ascii="方正仿宋_GBK" w:eastAsia="方正仿宋_GBK"/>
                <w:szCs w:val="28"/>
              </w:rPr>
            </w:pPr>
            <w:r>
              <w:rPr>
                <w:rFonts w:hint="eastAsia" w:ascii="方正仿宋_GBK" w:eastAsia="方正仿宋_GBK"/>
                <w:szCs w:val="28"/>
              </w:rPr>
              <w:t>对运营方案的合理性、完整性进行整体评判：</w:t>
            </w:r>
          </w:p>
          <w:p>
            <w:pPr>
              <w:adjustRightInd w:val="0"/>
              <w:snapToGrid w:val="0"/>
              <w:rPr>
                <w:rFonts w:ascii="方正仿宋_GBK" w:eastAsia="方正仿宋_GBK"/>
                <w:szCs w:val="28"/>
              </w:rPr>
            </w:pPr>
            <w:r>
              <w:rPr>
                <w:rFonts w:hint="eastAsia" w:ascii="方正仿宋_GBK" w:eastAsia="方正仿宋_GBK"/>
                <w:szCs w:val="28"/>
              </w:rPr>
              <w:t>方案合理内容完整得20分；方案较合理内容较完整得10分；方案不合理内容不完整得5分；未提供得0分。</w:t>
            </w:r>
          </w:p>
          <w:p>
            <w:pPr>
              <w:adjustRightInd w:val="0"/>
              <w:snapToGrid w:val="0"/>
              <w:rPr>
                <w:rFonts w:ascii="方正仿宋_GBK" w:eastAsia="方正仿宋_GBK"/>
                <w:szCs w:val="28"/>
              </w:rPr>
            </w:pPr>
            <w:r>
              <w:rPr>
                <w:rFonts w:hint="eastAsia" w:ascii="方正仿宋_GBK" w:eastAsia="方正仿宋_GBK"/>
                <w:szCs w:val="28"/>
              </w:rPr>
              <w:t>2．官微运营方案（共20分）</w:t>
            </w:r>
          </w:p>
          <w:p>
            <w:pPr>
              <w:adjustRightInd w:val="0"/>
              <w:snapToGrid w:val="0"/>
              <w:rPr>
                <w:rFonts w:ascii="方正仿宋_GBK" w:eastAsia="方正仿宋_GBK"/>
                <w:szCs w:val="28"/>
              </w:rPr>
            </w:pPr>
            <w:r>
              <w:rPr>
                <w:rFonts w:hint="eastAsia" w:ascii="方正仿宋_GBK" w:eastAsia="方正仿宋_GBK"/>
                <w:szCs w:val="28"/>
              </w:rPr>
              <w:t>对运营方案的合理性、完整性进行整体评判：</w:t>
            </w:r>
          </w:p>
          <w:p>
            <w:pPr>
              <w:adjustRightInd w:val="0"/>
              <w:snapToGrid w:val="0"/>
              <w:rPr>
                <w:rFonts w:ascii="方正仿宋_GBK" w:eastAsia="方正仿宋_GBK"/>
                <w:szCs w:val="28"/>
              </w:rPr>
            </w:pPr>
            <w:r>
              <w:rPr>
                <w:rFonts w:hint="eastAsia" w:ascii="方正仿宋_GBK" w:eastAsia="方正仿宋_GBK"/>
                <w:szCs w:val="28"/>
              </w:rPr>
              <w:t>方案合理内容完整得20分；方案较合理内容较完整得10分；方案不合理内容不完整得5分；未提供得0分。</w:t>
            </w:r>
          </w:p>
          <w:p>
            <w:pPr>
              <w:adjustRightInd w:val="0"/>
              <w:snapToGrid w:val="0"/>
              <w:rPr>
                <w:rFonts w:ascii="方正仿宋_GBK" w:eastAsia="方正仿宋_GBK"/>
                <w:szCs w:val="28"/>
              </w:rPr>
            </w:pPr>
            <w:r>
              <w:rPr>
                <w:rFonts w:hint="eastAsia" w:ascii="方正仿宋_GBK" w:eastAsia="方正仿宋_GBK"/>
                <w:szCs w:val="28"/>
              </w:rPr>
              <w:t>3．调查回访方案（共20分）</w:t>
            </w:r>
          </w:p>
          <w:p>
            <w:pPr>
              <w:adjustRightInd w:val="0"/>
              <w:snapToGrid w:val="0"/>
              <w:rPr>
                <w:rFonts w:ascii="方正仿宋_GBK" w:eastAsia="方正仿宋_GBK"/>
                <w:szCs w:val="28"/>
              </w:rPr>
            </w:pPr>
            <w:r>
              <w:rPr>
                <w:rFonts w:hint="eastAsia" w:ascii="方正仿宋_GBK" w:eastAsia="方正仿宋_GBK"/>
                <w:szCs w:val="28"/>
              </w:rPr>
              <w:t>对回访方案的合理性、完整性进行整体评判：</w:t>
            </w:r>
          </w:p>
          <w:p>
            <w:pPr>
              <w:adjustRightInd w:val="0"/>
              <w:snapToGrid w:val="0"/>
              <w:rPr>
                <w:rFonts w:ascii="方正仿宋_GBK" w:eastAsia="方正仿宋_GBK"/>
                <w:szCs w:val="28"/>
              </w:rPr>
            </w:pPr>
            <w:r>
              <w:rPr>
                <w:rFonts w:hint="eastAsia" w:ascii="方正仿宋_GBK" w:eastAsia="方正仿宋_GBK"/>
                <w:szCs w:val="28"/>
              </w:rPr>
              <w:t>方案合理内容完整得20分；方案较合理内容较完整得10分；方案不合理内容不完整得5分；未提供得0分。</w:t>
            </w:r>
          </w:p>
        </w:tc>
        <w:tc>
          <w:tcPr>
            <w:tcW w:w="1833"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szCs w:val="28"/>
              </w:rPr>
            </w:pPr>
            <w:r>
              <w:rPr>
                <w:rFonts w:hint="eastAsia" w:ascii="方正仿宋_GBK" w:eastAsia="方正仿宋_GBK"/>
                <w:szCs w:val="28"/>
              </w:rPr>
              <w:t>供应商针对本项目服务内容策划策划方案。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rPr>
          <w:trHeight w:val="1344" w:hRule="atLeast"/>
        </w:trPr>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3</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商务部分</w:t>
            </w:r>
          </w:p>
          <w:p>
            <w:pPr>
              <w:adjustRightInd w:val="0"/>
              <w:snapToGrid w:val="0"/>
              <w:jc w:val="center"/>
              <w:rPr>
                <w:rFonts w:ascii="方正仿宋_GBK" w:eastAsia="方正仿宋_GBK"/>
                <w:szCs w:val="28"/>
              </w:rPr>
            </w:pPr>
            <w:r>
              <w:rPr>
                <w:rFonts w:hint="eastAsia" w:ascii="方正仿宋_GBK" w:eastAsia="方正仿宋_GBK"/>
                <w:szCs w:val="28"/>
              </w:rPr>
              <w:t>（20%）</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szCs w:val="28"/>
              </w:rPr>
            </w:pPr>
            <w:r>
              <w:rPr>
                <w:rFonts w:hint="eastAsia" w:ascii="方正仿宋_GBK" w:eastAsia="方正仿宋_GBK"/>
                <w:szCs w:val="28"/>
              </w:rPr>
              <w:t>20</w:t>
            </w:r>
          </w:p>
        </w:tc>
        <w:tc>
          <w:tcPr>
            <w:tcW w:w="5413" w:type="dxa"/>
            <w:tcBorders>
              <w:tl2br w:val="nil"/>
              <w:tr2bl w:val="nil"/>
            </w:tcBorders>
            <w:shd w:val="clear" w:color="auto" w:fill="auto"/>
            <w:tcMar>
              <w:top w:w="0" w:type="dxa"/>
              <w:left w:w="0" w:type="dxa"/>
              <w:bottom w:w="0" w:type="dxa"/>
              <w:right w:w="0" w:type="dxa"/>
            </w:tcMar>
          </w:tcPr>
          <w:p>
            <w:pPr>
              <w:adjustRightInd w:val="0"/>
              <w:snapToGrid w:val="0"/>
              <w:rPr>
                <w:rFonts w:ascii="方正仿宋_GBK" w:eastAsia="方正仿宋_GBK"/>
                <w:szCs w:val="28"/>
              </w:rPr>
            </w:pPr>
            <w:r>
              <w:rPr>
                <w:rFonts w:hint="eastAsia" w:ascii="方正仿宋_GBK" w:eastAsia="方正仿宋_GBK"/>
                <w:bCs/>
                <w:szCs w:val="28"/>
              </w:rPr>
              <w:t>2020年至今（以合同签订时间为准），供应商承接过省级(直辖市)及以上政府部门网站或公众号运营类项目的，</w:t>
            </w:r>
            <w:r>
              <w:rPr>
                <w:rFonts w:hint="eastAsia" w:ascii="方正仿宋_GBK" w:eastAsia="方正仿宋_GBK"/>
                <w:color w:val="333333"/>
              </w:rPr>
              <w:t>每提供1份合同或其他有效证明文件的得10分，最多20分。</w:t>
            </w:r>
          </w:p>
        </w:tc>
        <w:tc>
          <w:tcPr>
            <w:tcW w:w="1833"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szCs w:val="28"/>
              </w:rPr>
            </w:pPr>
            <w:r>
              <w:rPr>
                <w:rFonts w:hint="eastAsia" w:ascii="方正仿宋_GBK" w:eastAsia="方正仿宋_GBK"/>
                <w:szCs w:val="28"/>
              </w:rPr>
              <w:t>提供合同复印件</w:t>
            </w:r>
          </w:p>
        </w:tc>
      </w:tr>
    </w:tbl>
    <w:p>
      <w:pPr>
        <w:pStyle w:val="12"/>
        <w:widowControl/>
        <w:adjustRightInd w:val="0"/>
        <w:snapToGrid w:val="0"/>
        <w:spacing w:beforeAutospacing="0" w:afterAutospacing="0" w:line="60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六、报名时间</w:t>
      </w:r>
    </w:p>
    <w:p>
      <w:pPr>
        <w:pStyle w:val="12"/>
        <w:widowControl/>
        <w:adjustRightInd w:val="0"/>
        <w:snapToGrid w:val="0"/>
        <w:spacing w:beforeAutospacing="0" w:afterAutospacing="0" w:line="600" w:lineRule="exact"/>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2023年</w:t>
      </w:r>
      <w:r>
        <w:rPr>
          <w:rFonts w:hint="eastAsia" w:ascii="Times New Roman" w:hAnsi="Times New Roman" w:eastAsia="方正仿宋_GBK"/>
          <w:kern w:val="2"/>
          <w:sz w:val="32"/>
          <w:szCs w:val="32"/>
          <w:lang w:val="en-US" w:eastAsia="zh-CN"/>
        </w:rPr>
        <w:t>3</w:t>
      </w:r>
      <w:r>
        <w:rPr>
          <w:rFonts w:ascii="Times New Roman" w:hAnsi="Times New Roman" w:eastAsia="方正仿宋_GBK"/>
          <w:kern w:val="2"/>
          <w:sz w:val="32"/>
          <w:szCs w:val="32"/>
        </w:rPr>
        <w:t>月</w:t>
      </w:r>
      <w:r>
        <w:rPr>
          <w:rFonts w:hint="eastAsia" w:ascii="Times New Roman" w:hAnsi="Times New Roman" w:eastAsia="方正仿宋_GBK"/>
          <w:kern w:val="2"/>
          <w:sz w:val="32"/>
          <w:szCs w:val="32"/>
          <w:lang w:val="en-US" w:eastAsia="zh-CN"/>
        </w:rPr>
        <w:t>14</w:t>
      </w:r>
      <w:r>
        <w:rPr>
          <w:rFonts w:ascii="Times New Roman" w:hAnsi="Times New Roman" w:eastAsia="方正仿宋_GBK"/>
          <w:kern w:val="2"/>
          <w:sz w:val="32"/>
          <w:szCs w:val="32"/>
        </w:rPr>
        <w:t>日下午</w:t>
      </w:r>
      <w:bookmarkStart w:id="0" w:name="_GoBack"/>
      <w:bookmarkEnd w:id="0"/>
      <w:r>
        <w:rPr>
          <w:rFonts w:hint="eastAsia" w:ascii="Times New Roman" w:hAnsi="Times New Roman" w:eastAsia="方正仿宋_GBK"/>
          <w:kern w:val="2"/>
          <w:sz w:val="32"/>
          <w:szCs w:val="32"/>
          <w:lang w:val="en-US" w:eastAsia="zh-CN"/>
        </w:rPr>
        <w:t>5</w:t>
      </w:r>
      <w:r>
        <w:rPr>
          <w:rFonts w:ascii="Times New Roman" w:hAnsi="Times New Roman" w:eastAsia="方正仿宋_GBK"/>
          <w:kern w:val="2"/>
          <w:sz w:val="32"/>
          <w:szCs w:val="32"/>
        </w:rPr>
        <w:t>：00点之前，迟到或不符合规定的投标文件恕不接受。</w:t>
      </w:r>
    </w:p>
    <w:p>
      <w:pPr>
        <w:pStyle w:val="12"/>
        <w:widowControl/>
        <w:adjustRightInd w:val="0"/>
        <w:snapToGrid w:val="0"/>
        <w:spacing w:beforeAutospacing="0" w:afterAutospacing="0" w:line="60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七、报名资料</w:t>
      </w:r>
    </w:p>
    <w:p>
      <w:pPr>
        <w:pStyle w:val="12"/>
        <w:widowControl/>
        <w:adjustRightInd w:val="0"/>
        <w:snapToGrid w:val="0"/>
        <w:spacing w:beforeAutospacing="0" w:afterAutospacing="0" w:line="600" w:lineRule="exact"/>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报名资料须采用信封包装并密封（一式五份</w:t>
      </w:r>
      <w:r>
        <w:rPr>
          <w:rFonts w:hint="eastAsia" w:ascii="Times New Roman" w:hAnsi="Times New Roman" w:eastAsia="方正仿宋_GBK"/>
          <w:kern w:val="2"/>
          <w:sz w:val="32"/>
          <w:szCs w:val="32"/>
          <w:lang w:eastAsia="zh-CN"/>
        </w:rPr>
        <w:t>，</w:t>
      </w:r>
      <w:r>
        <w:rPr>
          <w:rFonts w:hint="eastAsia" w:ascii="Times New Roman" w:hAnsi="Times New Roman" w:eastAsia="方正仿宋_GBK"/>
          <w:color w:val="333333"/>
          <w:sz w:val="32"/>
          <w:szCs w:val="32"/>
          <w:shd w:val="clear" w:color="auto" w:fill="FFFFFF"/>
          <w:lang w:val="en-US" w:eastAsia="zh-CN"/>
        </w:rPr>
        <w:t>一正四副</w:t>
      </w:r>
      <w:r>
        <w:rPr>
          <w:rFonts w:ascii="Times New Roman" w:hAnsi="Times New Roman" w:eastAsia="方正仿宋_GBK"/>
          <w:kern w:val="2"/>
          <w:sz w:val="32"/>
          <w:szCs w:val="32"/>
        </w:rPr>
        <w:t>），</w:t>
      </w:r>
      <w:r>
        <w:rPr>
          <w:rFonts w:hint="eastAsia" w:ascii="Times New Roman" w:hAnsi="Times New Roman" w:eastAsia="方正仿宋_GBK"/>
          <w:kern w:val="2"/>
          <w:sz w:val="32"/>
          <w:szCs w:val="32"/>
          <w:lang w:val="en-US" w:eastAsia="zh-CN"/>
        </w:rPr>
        <w:t>正本</w:t>
      </w:r>
      <w:r>
        <w:rPr>
          <w:rFonts w:ascii="Times New Roman" w:hAnsi="Times New Roman" w:eastAsia="方正仿宋_GBK"/>
          <w:kern w:val="2"/>
          <w:sz w:val="32"/>
          <w:szCs w:val="32"/>
        </w:rPr>
        <w:t>电子材料</w:t>
      </w:r>
      <w:r>
        <w:rPr>
          <w:rFonts w:hint="eastAsia" w:ascii="Times New Roman" w:hAnsi="Times New Roman" w:eastAsia="方正仿宋_GBK"/>
          <w:kern w:val="2"/>
          <w:sz w:val="32"/>
          <w:szCs w:val="32"/>
          <w:lang w:val="en-US" w:eastAsia="zh-CN"/>
        </w:rPr>
        <w:t>1</w:t>
      </w:r>
      <w:r>
        <w:rPr>
          <w:rFonts w:ascii="Times New Roman" w:hAnsi="Times New Roman" w:eastAsia="方正仿宋_GBK"/>
          <w:kern w:val="2"/>
          <w:sz w:val="32"/>
          <w:szCs w:val="32"/>
        </w:rPr>
        <w:t>份。信封上注明项目名称、供应商名称等字样。信封的封口应加盖供应商公章或法人授权代表签字。报名资料包括如下内容：</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（一）投标人简介、营业执照等资质证明材料。</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（二）投标方案及价格（包括所有费用的全包价）。</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（三）类似案例和荣誉的证明。</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（四）上一年度财务状况报告（表）或其基本帐户开户银行出具的资信证明复印件，本年度新成立或成立不满一年的组织和自然人无法提供财务状况报告（表）的，可提供银行出具的资信证明复印件。</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（五）书面声明，承诺具有履行合同所必需的设备和专业技术能力；承诺参加政府采购活动前三年内，在经营活动中没有受过刑事处罚、行政处罚、行业自律惩戒。</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（六）依法缴纳税收和社会保障金的证明材料复印件；依法免税或不需要缴纳社会保障资金的供应商，应提供相应文件证明其依法免税或不需要缴纳社会保障资金。</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（七）投标人法定代表人证明书或授权委托函原件材料。</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（八）投标人认为需要提供的其他材料。</w:t>
      </w:r>
    </w:p>
    <w:p>
      <w:pPr>
        <w:pStyle w:val="12"/>
        <w:widowControl/>
        <w:adjustRightInd w:val="0"/>
        <w:snapToGrid w:val="0"/>
        <w:spacing w:beforeAutospacing="0" w:afterAutospacing="0" w:line="60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八、报名方式</w:t>
      </w:r>
    </w:p>
    <w:p>
      <w:pPr>
        <w:pStyle w:val="12"/>
        <w:widowControl/>
        <w:adjustRightInd w:val="0"/>
        <w:snapToGrid w:val="0"/>
        <w:spacing w:beforeAutospacing="0" w:afterAutospacing="0" w:line="600" w:lineRule="exact"/>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本项目仅接受现场登记，请前往重庆市南岸区南滨路162号2幢</w:t>
      </w:r>
      <w:r>
        <w:rPr>
          <w:rFonts w:hint="eastAsia" w:ascii="Times New Roman" w:hAnsi="Times New Roman" w:eastAsia="方正仿宋_GBK"/>
          <w:kern w:val="2"/>
          <w:sz w:val="32"/>
          <w:szCs w:val="32"/>
        </w:rPr>
        <w:t>1903</w:t>
      </w:r>
      <w:r>
        <w:rPr>
          <w:rFonts w:ascii="Times New Roman" w:hAnsi="Times New Roman" w:eastAsia="方正仿宋_GBK"/>
          <w:kern w:val="2"/>
          <w:sz w:val="32"/>
          <w:szCs w:val="32"/>
        </w:rPr>
        <w:t>号房间。</w:t>
      </w:r>
    </w:p>
    <w:p>
      <w:pPr>
        <w:pStyle w:val="12"/>
        <w:widowControl/>
        <w:adjustRightInd w:val="0"/>
        <w:snapToGrid w:val="0"/>
        <w:spacing w:beforeAutospacing="0" w:afterAutospacing="0" w:line="600" w:lineRule="exact"/>
        <w:ind w:firstLine="640" w:firstLineChars="200"/>
        <w:rPr>
          <w:rFonts w:ascii="Times New Roman" w:hAnsi="Times New Roman" w:eastAsia="方正黑体_GBK"/>
          <w:sz w:val="32"/>
          <w:szCs w:val="32"/>
        </w:rPr>
      </w:pPr>
      <w:r>
        <w:rPr>
          <w:rFonts w:ascii="Times New Roman" w:hAnsi="Times New Roman" w:eastAsia="方正黑体_GBK"/>
          <w:sz w:val="32"/>
          <w:szCs w:val="32"/>
        </w:rPr>
        <w:t>九、其他需要公告内容</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（一）本项目不接受联合体投标。</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（二）本文件所涉及时间一律为北京时间。</w:t>
      </w:r>
    </w:p>
    <w:p>
      <w:pPr>
        <w:pStyle w:val="12"/>
        <w:widowControl/>
        <w:adjustRightInd w:val="0"/>
        <w:snapToGrid w:val="0"/>
        <w:spacing w:beforeAutospacing="0" w:afterAutospacing="0" w:line="600" w:lineRule="exact"/>
        <w:ind w:firstLine="640" w:firstLineChars="200"/>
        <w:rPr>
          <w:rFonts w:ascii="Times New Roman" w:hAnsi="Times New Roman" w:eastAsia="方正仿宋_GBK"/>
          <w:kern w:val="2"/>
          <w:sz w:val="32"/>
          <w:szCs w:val="32"/>
        </w:rPr>
      </w:pPr>
      <w:r>
        <w:rPr>
          <w:rFonts w:hint="eastAsia" w:ascii="方正仿宋_GBK" w:eastAsia="方正仿宋_GBK"/>
          <w:sz w:val="32"/>
          <w:szCs w:val="32"/>
        </w:rPr>
        <w:t>（三）违约责任。</w:t>
      </w:r>
      <w:r>
        <w:rPr>
          <w:rFonts w:hint="eastAsia" w:ascii="方正仿宋_GBK" w:eastAsia="方正仿宋_GBK"/>
          <w:kern w:val="2"/>
          <w:sz w:val="32"/>
          <w:szCs w:val="32"/>
        </w:rPr>
        <w:t>若投标人无故弃标或存在其他违反招投标诚信行为的，将列入我委采购黑名单，不予接受任何采购供应服</w:t>
      </w:r>
      <w:r>
        <w:rPr>
          <w:rFonts w:ascii="Times New Roman" w:hAnsi="Times New Roman" w:eastAsia="方正仿宋_GBK"/>
          <w:kern w:val="2"/>
          <w:sz w:val="32"/>
          <w:szCs w:val="32"/>
        </w:rPr>
        <w:t>务，同时视情将有关情况报送相关财政部门，由财政部门根据实际情况记入供应商诚信档案。</w:t>
      </w:r>
    </w:p>
    <w:p>
      <w:pPr>
        <w:pStyle w:val="12"/>
        <w:widowControl/>
        <w:adjustRightInd w:val="0"/>
        <w:snapToGrid w:val="0"/>
        <w:spacing w:beforeAutospacing="0" w:afterAutospacing="0" w:line="600" w:lineRule="exact"/>
        <w:ind w:firstLine="640" w:firstLineChars="200"/>
        <w:rPr>
          <w:rFonts w:ascii="方正仿宋_GBK" w:eastAsia="方正仿宋_GBK"/>
          <w:sz w:val="32"/>
          <w:szCs w:val="32"/>
        </w:rPr>
      </w:pPr>
      <w:r>
        <w:rPr>
          <w:rFonts w:hint="eastAsia" w:ascii="方正仿宋_GBK" w:eastAsia="方正仿宋_GBK"/>
          <w:sz w:val="32"/>
          <w:szCs w:val="32"/>
        </w:rPr>
        <w:t>（四）我委享有最终解释权。</w:t>
      </w:r>
    </w:p>
    <w:p>
      <w:pPr>
        <w:pStyle w:val="16"/>
        <w:adjustRightInd w:val="0"/>
        <w:snapToGrid w:val="0"/>
        <w:spacing w:line="600" w:lineRule="exact"/>
        <w:ind w:firstLine="640" w:firstLineChars="200"/>
        <w:rPr>
          <w:rFonts w:ascii="方正仿宋_GBK" w:eastAsia="方正仿宋_GBK"/>
          <w:sz w:val="32"/>
          <w:szCs w:val="32"/>
        </w:rPr>
      </w:pPr>
      <w:r>
        <w:rPr>
          <w:rFonts w:hint="eastAsia" w:ascii="方正仿宋_GBK" w:eastAsia="方正仿宋_GBK"/>
          <w:sz w:val="32"/>
          <w:szCs w:val="32"/>
        </w:rPr>
        <w:t>（五）联系人：谭老师，联系电话：</w:t>
      </w:r>
      <w:r>
        <w:rPr>
          <w:rFonts w:hint="eastAsia" w:ascii="Times New Roman" w:hAnsi="Times New Roman" w:eastAsia="方正仿宋_GBK" w:cs="Times New Roman"/>
          <w:kern w:val="2"/>
          <w:sz w:val="32"/>
          <w:szCs w:val="32"/>
          <w:lang w:val="en-US" w:eastAsia="zh-CN" w:bidi="ar-SA"/>
        </w:rPr>
        <w:t>023-62663069</w:t>
      </w:r>
      <w:r>
        <w:rPr>
          <w:rFonts w:hint="eastAsia" w:ascii="方正仿宋_GBK" w:eastAsia="方正仿宋_GBK"/>
          <w:sz w:val="32"/>
          <w:szCs w:val="32"/>
        </w:rPr>
        <w:t>，联系地址：重庆市南岸区南滨路</w:t>
      </w:r>
      <w:r>
        <w:rPr>
          <w:rFonts w:hint="eastAsia" w:ascii="Times New Roman" w:hAnsi="Times New Roman" w:eastAsia="方正仿宋_GBK" w:cs="Times New Roman"/>
          <w:kern w:val="2"/>
          <w:sz w:val="32"/>
          <w:szCs w:val="32"/>
          <w:lang w:val="en-US" w:eastAsia="zh-CN" w:bidi="ar-SA"/>
        </w:rPr>
        <w:t>162号2幢</w:t>
      </w:r>
      <w:r>
        <w:rPr>
          <w:rFonts w:hint="eastAsia" w:ascii="方正仿宋_GBK" w:eastAsia="方正仿宋_GBK"/>
          <w:sz w:val="32"/>
          <w:szCs w:val="32"/>
        </w:rPr>
        <w:t>。</w:t>
      </w:r>
    </w:p>
    <w:p>
      <w:pPr>
        <w:pStyle w:val="12"/>
        <w:widowControl/>
        <w:adjustRightInd w:val="0"/>
        <w:snapToGrid w:val="0"/>
        <w:spacing w:beforeAutospacing="0" w:afterAutospacing="0" w:line="600" w:lineRule="exact"/>
        <w:ind w:firstLine="640" w:firstLineChars="200"/>
        <w:jc w:val="right"/>
        <w:rPr>
          <w:rFonts w:ascii="Times New Roman" w:hAnsi="Times New Roman" w:eastAsia="方正仿宋_GBK"/>
          <w:kern w:val="2"/>
          <w:sz w:val="32"/>
          <w:szCs w:val="32"/>
        </w:rPr>
      </w:pPr>
    </w:p>
    <w:p>
      <w:pPr>
        <w:pStyle w:val="12"/>
        <w:widowControl/>
        <w:adjustRightInd w:val="0"/>
        <w:snapToGrid w:val="0"/>
        <w:spacing w:beforeAutospacing="0" w:afterAutospacing="0" w:line="600" w:lineRule="exact"/>
        <w:ind w:firstLine="640" w:firstLineChars="200"/>
        <w:jc w:val="right"/>
        <w:rPr>
          <w:rFonts w:ascii="Times New Roman" w:hAnsi="Times New Roman" w:eastAsia="方正仿宋_GBK"/>
          <w:kern w:val="2"/>
          <w:sz w:val="32"/>
          <w:szCs w:val="32"/>
        </w:rPr>
      </w:pPr>
    </w:p>
    <w:p>
      <w:pPr>
        <w:pStyle w:val="12"/>
        <w:widowControl/>
        <w:adjustRightInd w:val="0"/>
        <w:snapToGrid w:val="0"/>
        <w:spacing w:beforeAutospacing="0" w:afterAutospacing="0" w:line="600" w:lineRule="exact"/>
        <w:ind w:firstLine="640" w:firstLineChars="200"/>
        <w:jc w:val="right"/>
        <w:rPr>
          <w:rFonts w:ascii="Times New Roman" w:hAnsi="Times New Roman" w:eastAsia="方正仿宋_GBK"/>
          <w:kern w:val="2"/>
          <w:sz w:val="32"/>
          <w:szCs w:val="32"/>
        </w:rPr>
      </w:pPr>
      <w:r>
        <w:rPr>
          <w:rFonts w:ascii="Times New Roman" w:hAnsi="Times New Roman" w:eastAsia="方正仿宋_GBK"/>
          <w:kern w:val="2"/>
          <w:sz w:val="32"/>
          <w:szCs w:val="32"/>
        </w:rPr>
        <w:t>重庆市商务委员会</w:t>
      </w:r>
    </w:p>
    <w:p>
      <w:pPr>
        <w:pStyle w:val="12"/>
        <w:widowControl/>
        <w:adjustRightInd w:val="0"/>
        <w:snapToGrid w:val="0"/>
        <w:spacing w:beforeAutospacing="0" w:afterAutospacing="0" w:line="600" w:lineRule="exact"/>
        <w:ind w:firstLine="640" w:firstLineChars="200"/>
        <w:jc w:val="right"/>
        <w:rPr>
          <w:rFonts w:ascii="Times New Roman" w:hAnsi="Times New Roman" w:eastAsia="方正仿宋_GBK"/>
          <w:sz w:val="32"/>
          <w:szCs w:val="32"/>
        </w:rPr>
      </w:pPr>
      <w:r>
        <w:rPr>
          <w:rFonts w:hint="eastAsia" w:ascii="Times New Roman" w:hAnsi="Times New Roman" w:eastAsia="方正仿宋_GBK"/>
          <w:kern w:val="2"/>
          <w:sz w:val="32"/>
          <w:szCs w:val="32"/>
          <w:lang w:val="en-US" w:eastAsia="zh-CN"/>
        </w:rPr>
        <w:t>2023</w:t>
      </w:r>
      <w:r>
        <w:rPr>
          <w:rFonts w:ascii="Times New Roman" w:hAnsi="Times New Roman" w:eastAsia="方正仿宋_GBK"/>
          <w:kern w:val="2"/>
          <w:sz w:val="32"/>
          <w:szCs w:val="32"/>
        </w:rPr>
        <w:t>年</w:t>
      </w:r>
      <w:r>
        <w:rPr>
          <w:rFonts w:hint="eastAsia" w:ascii="Times New Roman" w:hAnsi="Times New Roman" w:eastAsia="方正仿宋_GBK"/>
          <w:kern w:val="2"/>
          <w:sz w:val="32"/>
          <w:szCs w:val="32"/>
          <w:lang w:val="en-US" w:eastAsia="zh-CN"/>
        </w:rPr>
        <w:t>3</w:t>
      </w:r>
      <w:r>
        <w:rPr>
          <w:rFonts w:ascii="Times New Roman" w:hAnsi="Times New Roman" w:eastAsia="方正仿宋_GBK"/>
          <w:kern w:val="2"/>
          <w:sz w:val="32"/>
          <w:szCs w:val="32"/>
        </w:rPr>
        <w:t>月</w:t>
      </w:r>
      <w:r>
        <w:rPr>
          <w:rFonts w:hint="eastAsia" w:ascii="Times New Roman" w:hAnsi="Times New Roman" w:eastAsia="方正仿宋_GBK"/>
          <w:kern w:val="2"/>
          <w:sz w:val="32"/>
          <w:szCs w:val="32"/>
          <w:lang w:val="en-US" w:eastAsia="zh-CN"/>
        </w:rPr>
        <w:t>9</w:t>
      </w:r>
      <w:r>
        <w:rPr>
          <w:rFonts w:ascii="Times New Roman" w:hAnsi="Times New Roman" w:eastAsia="方正仿宋_GBK"/>
          <w:kern w:val="2"/>
          <w:sz w:val="32"/>
          <w:szCs w:val="32"/>
        </w:rPr>
        <w:t>日</w:t>
      </w:r>
    </w:p>
    <w:sectPr>
      <w:footerReference r:id="rId3" w:type="default"/>
      <w:footerReference r:id="rId4" w:type="even"/>
      <w:pgSz w:w="11906" w:h="16838"/>
      <w:pgMar w:top="2098" w:right="1531" w:bottom="1984" w:left="1531" w:header="851" w:footer="992" w:gutter="0"/>
      <w:cols w:space="720" w:num="1"/>
      <w:docGrid w:type="line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ascii="宋体" w:eastAsia="宋体"/>
        <w:sz w:val="28"/>
        <w:szCs w:val="28"/>
      </w:rPr>
    </w:pPr>
    <w:r>
      <w:rPr>
        <w:rFonts w:hint="eastAsia" w:ascii="宋体" w:eastAsia="宋体"/>
        <w:sz w:val="28"/>
        <w:szCs w:val="28"/>
      </w:rPr>
      <w:t>—</w:t>
    </w:r>
    <w:r>
      <w:rPr>
        <w:rFonts w:ascii="宋体" w:eastAsia="宋体"/>
        <w:sz w:val="28"/>
        <w:szCs w:val="28"/>
      </w:rPr>
      <w:t xml:space="preserve"> </w:t>
    </w:r>
    <w:r>
      <w:rPr>
        <w:rFonts w:ascii="宋体" w:eastAsia="宋体"/>
        <w:sz w:val="28"/>
        <w:szCs w:val="28"/>
      </w:rPr>
      <w:fldChar w:fldCharType="begin"/>
    </w:r>
    <w:r>
      <w:rPr>
        <w:rFonts w:ascii="宋体" w:eastAsia="宋体"/>
        <w:sz w:val="28"/>
        <w:szCs w:val="28"/>
      </w:rPr>
      <w:instrText xml:space="preserve">PAGE   \* MERGEFORMAT</w:instrText>
    </w:r>
    <w:r>
      <w:rPr>
        <w:rFonts w:ascii="宋体" w:eastAsia="宋体"/>
        <w:sz w:val="28"/>
        <w:szCs w:val="28"/>
      </w:rPr>
      <w:fldChar w:fldCharType="separate"/>
    </w:r>
    <w:r>
      <w:rPr>
        <w:rFonts w:ascii="宋体" w:eastAsia="宋体"/>
        <w:sz w:val="28"/>
        <w:szCs w:val="28"/>
        <w:lang w:val="zh-CN"/>
      </w:rPr>
      <w:t>1</w:t>
    </w:r>
    <w:r>
      <w:rPr>
        <w:rFonts w:ascii="宋体" w:eastAsia="宋体"/>
        <w:sz w:val="28"/>
        <w:szCs w:val="28"/>
      </w:rPr>
      <w:fldChar w:fldCharType="end"/>
    </w:r>
    <w:r>
      <w:rPr>
        <w:rFonts w:ascii="宋体" w:eastAsia="宋体"/>
        <w:sz w:val="28"/>
        <w:szCs w:val="28"/>
      </w:rPr>
      <w:t xml:space="preserve"> </w:t>
    </w:r>
    <w:r>
      <w:rPr>
        <w:rFonts w:hint="eastAsia" w:ascii="宋体" w:eastAsia="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ascii="宋体" w:eastAsia="宋体"/>
        <w:sz w:val="28"/>
        <w:szCs w:val="28"/>
      </w:rPr>
    </w:pPr>
    <w:r>
      <w:rPr>
        <w:rFonts w:hint="eastAsia" w:ascii="宋体" w:eastAsia="宋体"/>
        <w:sz w:val="28"/>
        <w:szCs w:val="28"/>
      </w:rPr>
      <w:t>—</w:t>
    </w:r>
    <w:r>
      <w:rPr>
        <w:rFonts w:ascii="宋体" w:eastAsia="宋体"/>
        <w:sz w:val="28"/>
        <w:szCs w:val="28"/>
      </w:rPr>
      <w:t xml:space="preserve"> </w:t>
    </w:r>
    <w:r>
      <w:rPr>
        <w:rFonts w:ascii="宋体" w:eastAsia="宋体"/>
        <w:sz w:val="28"/>
        <w:szCs w:val="28"/>
      </w:rPr>
      <w:fldChar w:fldCharType="begin"/>
    </w:r>
    <w:r>
      <w:rPr>
        <w:rFonts w:ascii="宋体" w:eastAsia="宋体"/>
        <w:sz w:val="28"/>
        <w:szCs w:val="28"/>
      </w:rPr>
      <w:instrText xml:space="preserve">PAGE   \* MERGEFORMAT</w:instrText>
    </w:r>
    <w:r>
      <w:rPr>
        <w:rFonts w:ascii="宋体" w:eastAsia="宋体"/>
        <w:sz w:val="28"/>
        <w:szCs w:val="28"/>
      </w:rPr>
      <w:fldChar w:fldCharType="separate"/>
    </w:r>
    <w:r>
      <w:rPr>
        <w:rFonts w:ascii="宋体" w:eastAsia="宋体"/>
        <w:sz w:val="28"/>
        <w:szCs w:val="28"/>
        <w:lang w:val="zh-CN"/>
      </w:rPr>
      <w:t>1</w:t>
    </w:r>
    <w:r>
      <w:rPr>
        <w:rFonts w:ascii="宋体" w:eastAsia="宋体"/>
        <w:sz w:val="28"/>
        <w:szCs w:val="28"/>
      </w:rPr>
      <w:fldChar w:fldCharType="end"/>
    </w:r>
    <w:r>
      <w:rPr>
        <w:rFonts w:ascii="宋体" w:eastAsia="宋体"/>
        <w:sz w:val="28"/>
        <w:szCs w:val="28"/>
      </w:rPr>
      <w:t xml:space="preserve"> </w:t>
    </w:r>
    <w:r>
      <w:rPr>
        <w:rFonts w:hint="eastAsia" w:ascii="宋体" w:eastAsia="宋体"/>
        <w:sz w:val="28"/>
        <w:szCs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E50526"/>
    <w:multiLevelType w:val="singleLevel"/>
    <w:tmpl w:val="C8E50526"/>
    <w:lvl w:ilvl="0" w:tentative="0">
      <w:start w:val="1"/>
      <w:numFmt w:val="decimal"/>
      <w:suff w:val="nothing"/>
      <w:lvlText w:val="%1、"/>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40"/>
  <w:drawingGridVerticalSpacing w:val="381"/>
  <w:displayHorizontalDrawingGridEvery w:val="2"/>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YjMzNTIzOWM3YWU0ZTg2ZmFkYjA0MmM1NDE3YWU1MzcifQ=="/>
  </w:docVars>
  <w:rsids>
    <w:rsidRoot w:val="00000000"/>
    <w:rsid w:val="22C25ACA"/>
    <w:rsid w:val="50E569C0"/>
    <w:rsid w:val="7E125DF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szCs w:val="22"/>
      <w:lang w:val="en-US" w:eastAsia="zh-CN" w:bidi="ar-SA"/>
    </w:rPr>
  </w:style>
  <w:style w:type="paragraph" w:styleId="3">
    <w:name w:val="heading 1"/>
    <w:basedOn w:val="1"/>
    <w:next w:val="1"/>
    <w:qFormat/>
    <w:uiPriority w:val="0"/>
    <w:pPr>
      <w:spacing w:beforeAutospacing="1" w:afterAutospacing="1"/>
      <w:ind w:left="200" w:leftChars="200"/>
      <w:jc w:val="left"/>
      <w:outlineLvl w:val="0"/>
    </w:pPr>
    <w:rPr>
      <w:rFonts w:ascii="宋体" w:hAnsi="宋体" w:eastAsia="方正黑体_GBK"/>
      <w:b/>
      <w:bCs/>
      <w:kern w:val="44"/>
      <w:sz w:val="32"/>
      <w:szCs w:val="48"/>
    </w:rPr>
  </w:style>
  <w:style w:type="paragraph" w:styleId="4">
    <w:name w:val="heading 2"/>
    <w:basedOn w:val="1"/>
    <w:next w:val="1"/>
    <w:uiPriority w:val="0"/>
    <w:pPr>
      <w:keepNext/>
      <w:keepLines/>
      <w:widowControl w:val="0"/>
      <w:spacing w:before="260" w:after="260" w:line="600" w:lineRule="exact"/>
      <w:ind w:firstLine="200" w:firstLineChars="200"/>
      <w:jc w:val="left"/>
      <w:outlineLvl w:val="1"/>
    </w:pPr>
    <w:rPr>
      <w:rFonts w:ascii="Arial" w:hAnsi="Arial" w:eastAsia="方正楷体_GBK"/>
      <w:sz w:val="32"/>
    </w:rPr>
  </w:style>
  <w:style w:type="paragraph" w:styleId="5">
    <w:name w:val="heading 3"/>
    <w:basedOn w:val="1"/>
    <w:next w:val="1"/>
    <w:qFormat/>
    <w:uiPriority w:val="0"/>
    <w:pPr>
      <w:keepNext/>
      <w:keepLines/>
      <w:widowControl w:val="0"/>
      <w:spacing w:before="260" w:after="260" w:line="413" w:lineRule="auto"/>
      <w:ind w:left="200" w:leftChars="200"/>
      <w:outlineLvl w:val="2"/>
    </w:pPr>
    <w:rPr>
      <w:rFonts w:ascii="Calibri" w:hAnsi="Calibri" w:eastAsia="方正仿宋_GBK"/>
      <w:sz w:val="32"/>
    </w:rPr>
  </w:style>
  <w:style w:type="character" w:default="1" w:styleId="14">
    <w:name w:val="Default Paragraph Fon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6">
    <w:name w:val="toc 5"/>
    <w:basedOn w:val="1"/>
    <w:next w:val="1"/>
    <w:qFormat/>
    <w:uiPriority w:val="0"/>
    <w:pPr>
      <w:ind w:left="1680"/>
    </w:pPr>
  </w:style>
  <w:style w:type="paragraph" w:styleId="7">
    <w:name w:val="toc 3"/>
    <w:basedOn w:val="1"/>
    <w:next w:val="1"/>
    <w:qFormat/>
    <w:uiPriority w:val="0"/>
    <w:pPr>
      <w:ind w:left="840"/>
    </w:p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0"/>
  </w:style>
  <w:style w:type="paragraph" w:styleId="10">
    <w:name w:val="toc 4"/>
    <w:basedOn w:val="1"/>
    <w:next w:val="1"/>
    <w:qFormat/>
    <w:uiPriority w:val="0"/>
    <w:pPr>
      <w:ind w:left="1260"/>
    </w:pPr>
  </w:style>
  <w:style w:type="paragraph" w:styleId="11">
    <w:name w:val="toc 2"/>
    <w:basedOn w:val="1"/>
    <w:next w:val="1"/>
    <w:qFormat/>
    <w:uiPriority w:val="0"/>
    <w:pPr>
      <w:ind w:left="420"/>
    </w:pPr>
  </w:style>
  <w:style w:type="paragraph" w:styleId="12">
    <w:name w:val="Normal (Web)"/>
    <w:basedOn w:val="1"/>
    <w:qFormat/>
    <w:uiPriority w:val="0"/>
    <w:pPr>
      <w:spacing w:beforeAutospacing="1" w:afterAutospacing="1"/>
      <w:jc w:val="left"/>
    </w:pPr>
    <w:rPr>
      <w:kern w:val="0"/>
      <w:sz w:val="24"/>
    </w:rPr>
  </w:style>
  <w:style w:type="character" w:styleId="15">
    <w:name w:val="Strong"/>
    <w:basedOn w:val="14"/>
    <w:qFormat/>
    <w:uiPriority w:val="0"/>
    <w:rPr>
      <w:b/>
    </w:rPr>
  </w:style>
  <w:style w:type="paragraph" w:customStyle="1" w:styleId="16">
    <w:name w:val="正文1"/>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7</Pages>
  <Words>2899</Words>
  <Characters>2975</Characters>
  <Lines>176</Lines>
  <Paragraphs>92</Paragraphs>
  <TotalTime>1</TotalTime>
  <ScaleCrop>false</ScaleCrop>
  <LinksUpToDate>false</LinksUpToDate>
  <CharactersWithSpaces>14296</CharactersWithSpaces>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2023-02-13T08:22:00Z</dcterms:created>
  <dc:creator>小脚33</dc:creator>
  <cp:lastModifiedBy>刘倩</cp:lastModifiedBy>
  <cp:lastPrinted>2023-02-16T09:43:00Z</cp:lastPrinted>
  <dcterms:modified xsi:type="dcterms:W3CDTF">2023-03-09T03:20:58Z</dcterms:modified>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0354B52D0A5E4D54AEEC58EF4A5DF21B</vt:lpwstr>
  </property>
</Properties>
</file>