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widowControl/>
        <w:spacing w:beforeAutospacing="0" w:afterAutospacing="0" w:line="580" w:lineRule="exact"/>
        <w:jc w:val="center"/>
        <w:rPr>
          <w:rFonts w:ascii="Times New Roman" w:hAnsi="Times New Roman" w:eastAsia="方正小标宋_GBK"/>
          <w:color w:val="000000"/>
          <w:sz w:val="44"/>
          <w:szCs w:val="44"/>
        </w:rPr>
      </w:pPr>
      <w:r>
        <w:rPr>
          <w:rFonts w:hint="eastAsia" w:ascii="Times New Roman" w:hAnsi="Times New Roman" w:eastAsia="方正小标宋_GBK"/>
          <w:color w:val="000000"/>
          <w:sz w:val="44"/>
          <w:szCs w:val="44"/>
        </w:rPr>
        <w:t>第五届西洽会大会场馆进出管控相关服务项目</w:t>
      </w:r>
      <w:r>
        <w:rPr>
          <w:rFonts w:ascii="Times New Roman" w:hAnsi="Times New Roman" w:eastAsia="方正小标宋_GBK"/>
          <w:color w:val="000000"/>
          <w:sz w:val="44"/>
          <w:szCs w:val="44"/>
        </w:rPr>
        <w:t>采购公告</w:t>
      </w:r>
    </w:p>
    <w:p>
      <w:pPr>
        <w:pStyle w:val="13"/>
        <w:widowControl/>
        <w:spacing w:beforeAutospacing="0" w:afterAutospacing="0"/>
        <w:ind w:firstLine="640" w:firstLineChars="200"/>
        <w:jc w:val="both"/>
        <w:rPr>
          <w:rFonts w:ascii="Times New Roman" w:hAnsi="Times New Roman" w:eastAsia="方正小标宋_GBK"/>
          <w:color w:val="000000"/>
          <w:sz w:val="32"/>
          <w:szCs w:val="32"/>
        </w:rPr>
      </w:pPr>
    </w:p>
    <w:p>
      <w:pPr>
        <w:pStyle w:val="13"/>
        <w:widowControl/>
        <w:spacing w:beforeAutospacing="0" w:afterAutospacing="0"/>
        <w:ind w:firstLine="640" w:firstLineChars="200"/>
        <w:jc w:val="both"/>
        <w:rPr>
          <w:rFonts w:ascii="方正黑体_GBK" w:eastAsia="方正黑体_GBK"/>
          <w:b/>
          <w:bCs/>
          <w:sz w:val="32"/>
          <w:szCs w:val="32"/>
        </w:rPr>
      </w:pPr>
      <w:r>
        <w:rPr>
          <w:rStyle w:val="16"/>
          <w:rFonts w:hint="eastAsia" w:ascii="方正黑体_GBK" w:eastAsia="方正黑体_GBK"/>
          <w:b w:val="0"/>
          <w:bCs/>
          <w:color w:val="333333"/>
          <w:sz w:val="32"/>
          <w:szCs w:val="32"/>
          <w:shd w:val="clear" w:color="auto" w:fill="FFFFFF"/>
        </w:rPr>
        <w:t>一、项目名称</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仿宋_GBK"/>
          <w:color w:val="333333"/>
          <w:sz w:val="32"/>
          <w:szCs w:val="32"/>
          <w:shd w:val="clear" w:color="auto" w:fill="FFFFFF"/>
        </w:rPr>
        <w:t>第五届西洽会大会场馆进出管控相关服务。</w:t>
      </w:r>
    </w:p>
    <w:p>
      <w:pPr>
        <w:pStyle w:val="13"/>
        <w:widowControl/>
        <w:spacing w:beforeAutospacing="0" w:afterAutospacing="0"/>
        <w:ind w:firstLine="640" w:firstLineChars="200"/>
        <w:jc w:val="both"/>
        <w:rPr>
          <w:rStyle w:val="16"/>
          <w:rFonts w:ascii="方正黑体_GBK" w:eastAsia="方正黑体_GBK"/>
          <w:b w:val="0"/>
          <w:bCs/>
          <w:color w:val="333333"/>
          <w:sz w:val="32"/>
          <w:szCs w:val="32"/>
          <w:shd w:val="clear" w:color="auto" w:fill="FFFFFF"/>
        </w:rPr>
      </w:pPr>
      <w:r>
        <w:rPr>
          <w:rStyle w:val="16"/>
          <w:rFonts w:hint="eastAsia" w:ascii="方正黑体_GBK" w:eastAsia="方正黑体_GBK"/>
          <w:b w:val="0"/>
          <w:bCs/>
          <w:color w:val="333333"/>
          <w:sz w:val="32"/>
          <w:szCs w:val="32"/>
          <w:shd w:val="clear" w:color="auto" w:fill="FFFFFF"/>
        </w:rPr>
        <w:t>二、</w:t>
      </w:r>
      <w:r>
        <w:rPr>
          <w:rStyle w:val="16"/>
          <w:rFonts w:ascii="Times New Roman" w:hAnsi="Times New Roman" w:eastAsia="方正黑体_GBK"/>
          <w:b w:val="0"/>
          <w:bCs/>
          <w:color w:val="333333"/>
          <w:sz w:val="32"/>
          <w:szCs w:val="32"/>
          <w:shd w:val="clear" w:color="auto" w:fill="FFFFFF"/>
        </w:rPr>
        <w:t>项目预算金额</w:t>
      </w:r>
      <w:r>
        <w:rPr>
          <w:rStyle w:val="16"/>
          <w:rFonts w:hint="eastAsia" w:ascii="Times New Roman" w:hAnsi="Times New Roman" w:eastAsia="方正黑体_GBK"/>
          <w:b w:val="0"/>
          <w:bCs/>
          <w:color w:val="333333"/>
          <w:sz w:val="32"/>
          <w:szCs w:val="32"/>
          <w:shd w:val="clear" w:color="auto" w:fill="FFFFFF"/>
        </w:rPr>
        <w:t>、报价要求及付款方式</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（一）预算金额：</w:t>
      </w:r>
      <w:r>
        <w:rPr>
          <w:rFonts w:ascii="Times New Roman" w:hAnsi="Times New Roman" w:eastAsia="方正仿宋_GBK"/>
          <w:color w:val="333333"/>
          <w:sz w:val="32"/>
          <w:szCs w:val="32"/>
          <w:shd w:val="clear" w:color="auto" w:fill="FFFFFF"/>
        </w:rPr>
        <w:t>人民币49万元。</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（二）报价要求：</w:t>
      </w:r>
      <w:r>
        <w:rPr>
          <w:rFonts w:hint="eastAsia" w:ascii="Times New Roman" w:hAnsi="Times New Roman" w:eastAsia="方正仿宋_GBK"/>
          <w:color w:val="333333"/>
          <w:sz w:val="32"/>
          <w:szCs w:val="32"/>
          <w:shd w:val="clear" w:color="auto" w:fill="FFFFFF"/>
        </w:rPr>
        <w:t>投标报价应包括完成项目的全部费用，包括（但不限于）组织协调费、策划设计费、搭建费、执行费、材料费、场地费、办公费、人工费、保险费、验收专家费、税费等一切费用。因中标人自身原因造成漏报、少报皆由其自行承担责任，采购人不再补偿。</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（三）付款方式：</w:t>
      </w:r>
      <w:r>
        <w:rPr>
          <w:rFonts w:hint="eastAsia" w:ascii="Times New Roman" w:hAnsi="Times New Roman" w:eastAsia="方正仿宋_GBK"/>
          <w:color w:val="333333"/>
          <w:sz w:val="32"/>
          <w:szCs w:val="32"/>
          <w:shd w:val="clear" w:color="auto" w:fill="FFFFFF"/>
        </w:rPr>
        <w:t>合同签订后三天内由中标人提供足额增值税发票，并经采购人确定的跟审单位确认，采购人按资金审批流程支付合同金额的40％；中标人按采购合同完成所有工作内容、提交项目成果资料（包括但不限于文字资料、图片资料、影像资料、数据统计等），由跟审单位完成项目绩效评价，项目终验后的一个月内按照跟审单位确认的金额，由中标人提供足额增值税发票后，采购人按资金审批流程支付剩余尾款</w:t>
      </w:r>
      <w:r>
        <w:rPr>
          <w:rFonts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三、服务期限</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仿宋_GBK"/>
          <w:color w:val="333333"/>
          <w:sz w:val="32"/>
          <w:szCs w:val="32"/>
          <w:shd w:val="clear" w:color="auto" w:fill="FFFFFF"/>
        </w:rPr>
        <w:t>第五届西洽会</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四、项目主要内容及要求</w:t>
      </w:r>
    </w:p>
    <w:p>
      <w:pPr>
        <w:pStyle w:val="13"/>
        <w:widowControl/>
        <w:spacing w:beforeAutospacing="0" w:afterAutospacing="0"/>
        <w:ind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（一）场馆管控相关设备租赁</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智能验证通道设备：通道式无障碍验证设备实现人员证件信息识别，人证合一比对功能，无卡、无权限通行灯光预警，多人同时通行。哨位机双屏显示内置验证主机。内置验证主机满足百万级数据验证需求，可实时抓拍人脸图像，进行人脸比对，实现对通行人员的自动核验。</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（1）开幕式及重要会见活动智能验证通道设备：会议中心设置3套，每套使用2天。</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（2）巡馆活动智能验证通道设备：北登录厅和中央大厅各设置1套，共2套，每套使用1天。</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人脸识别验证通道设备：通道式无障碍验证设备实现人员人脸识别，无权限通行灯光预警，多人同时通行。哨位机双屏显示内置验证主机。内置验证主机满足百万级数据验证需求，可实时抓拍人脸图像，进行人脸比对，实现对通行人员的自动核验。</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（1）论坛及发布活动人脸识别验证通道设备：会议中心设置2套，每套使用3天。</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（2）展商人脸识别验证设备：北登录厅设置2套，中央大厅设置2套，共4套，每套使用4天。</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3．展商及观众验证闸机设备：闸机设备实现预约系统二维码、身份证信息读取及实时对比。闸机设备实现登录数据可追溯。设备必须支持身份证识别、同时支持二维码识别，识读速度≤1．5秒。北登录厅设置8套，中央大厅设置16套，会议中心1号门设置2套，共26套，每套使用4天，具体摆放位置根据现场情况调整。</w:t>
      </w:r>
    </w:p>
    <w:p>
      <w:pPr>
        <w:pStyle w:val="13"/>
        <w:widowControl/>
        <w:spacing w:beforeAutospacing="0" w:afterAutospacing="0"/>
        <w:ind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（二）相关配套服务</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1．现场支持：提供2名技术人员在开展期间对现场闸机设备、人脸识别设备安装调试及保障，共4天</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2．现场服务人员：提供6名工作人员，在开展期间协助参会人员使用闸机设备、人脸识别设备，解答相关问题，共4天</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3．安保人员：提供8名安保人员在开展期间维护现场秩序，共4天。</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五、供应商资格条件</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供应商是指向采购人提供服务或者货物的法人、其他组织或者自然人。按照政府采购法第二十二条规定，供应商应当具备下列条件：</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（一）具有独立承担民事责任的能力</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（二）具有良好的商业信誉和健全的财务会计制度</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（三）具有履行合同所必需的设备和专业技术能力</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（四）有依法缴纳税收的良好记录</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（五）参加政府采购活动前三年内，在经营活动中没有重大违法记录</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（六）法律、行政法规规定的其他条件</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六、评审标准</w:t>
      </w:r>
    </w:p>
    <w:tbl>
      <w:tblPr>
        <w:tblStyle w:val="14"/>
        <w:tblW w:w="9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31"/>
        <w:gridCol w:w="1228"/>
        <w:gridCol w:w="900"/>
        <w:gridCol w:w="4380"/>
        <w:gridCol w:w="2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序号</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评分因素</w:t>
            </w:r>
          </w:p>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权重</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分值</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评分标准</w:t>
            </w:r>
          </w:p>
        </w:tc>
        <w:tc>
          <w:tcPr>
            <w:tcW w:w="2297"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rPr>
            </w:pPr>
            <w:r>
              <w:rPr>
                <w:rFonts w:hint="eastAsia" w:ascii="方正黑体_GBK" w:eastAsia="方正黑体_GBK"/>
                <w:color w:val="333333"/>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1</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投标报价</w:t>
            </w:r>
          </w:p>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（20%）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rPr>
              <w:t>20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rPr>
                <w:rFonts w:ascii="方正仿宋_GBK" w:eastAsia="方正仿宋_GBK"/>
              </w:rPr>
            </w:pPr>
            <w:r>
              <w:rPr>
                <w:rFonts w:hint="eastAsia" w:ascii="方正仿宋_GBK" w:eastAsia="方正仿宋_GBK"/>
                <w:color w:val="333333"/>
              </w:rPr>
              <w:t>有效的投标报价中的最低价为评标基准价，其价格分为满分。其他投标人的价格分统一按照下列公式计算：</w:t>
            </w:r>
          </w:p>
          <w:p>
            <w:pPr>
              <w:pStyle w:val="13"/>
              <w:widowControl/>
              <w:snapToGrid w:val="0"/>
              <w:spacing w:beforeAutospacing="0" w:afterAutospacing="0"/>
              <w:rPr>
                <w:rFonts w:ascii="方正仿宋_GBK" w:eastAsia="方正仿宋_GBK"/>
              </w:rPr>
            </w:pPr>
            <w:r>
              <w:rPr>
                <w:rFonts w:hint="eastAsia" w:ascii="方正仿宋_GBK" w:eastAsia="方正仿宋_GBK"/>
                <w:color w:val="333333"/>
              </w:rPr>
              <w:t>投标报价得分=（评标基准率/所投费率）×价格权重×100。</w:t>
            </w:r>
          </w:p>
        </w:tc>
        <w:tc>
          <w:tcPr>
            <w:tcW w:w="2297" w:type="dxa"/>
            <w:shd w:val="clear" w:color="auto" w:fill="auto"/>
            <w:tcMar>
              <w:top w:w="0" w:type="dxa"/>
              <w:left w:w="0" w:type="dxa"/>
              <w:bottom w:w="0" w:type="dxa"/>
              <w:right w:w="0" w:type="dxa"/>
            </w:tcMar>
            <w:vAlign w:val="center"/>
          </w:tcPr>
          <w:p>
            <w:pPr>
              <w:pStyle w:val="13"/>
              <w:widowControl/>
              <w:snapToGrid w:val="0"/>
              <w:spacing w:beforeAutospacing="0" w:afterAutospacing="0"/>
              <w:ind w:firstLine="240" w:firstLineChars="100"/>
              <w:rPr>
                <w:rFonts w:ascii="方正仿宋_GBK" w:eastAsia="方正仿宋_GBK"/>
              </w:rPr>
            </w:pPr>
            <w:r>
              <w:rPr>
                <w:rFonts w:hint="eastAsia" w:ascii="方正仿宋_GBK" w:eastAsia="方正仿宋_GBK"/>
                <w:color w:val="333333"/>
              </w:rPr>
              <w:t>对小型和微型企业产品的价格给予6%-10%的扣除，用扣除后的价格参与评审。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2</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服务部分（50%）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rPr>
            </w:pPr>
            <w:r>
              <w:rPr>
                <w:rFonts w:hint="eastAsia" w:ascii="方正仿宋_GBK" w:eastAsia="方正仿宋_GBK"/>
                <w:color w:val="333333"/>
              </w:rPr>
              <w:t>50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1．实施方案（40）</w:t>
            </w:r>
          </w:p>
          <w:p>
            <w:pPr>
              <w:snapToGrid w:val="0"/>
              <w:jc w:val="left"/>
              <w:rPr>
                <w:rFonts w:ascii="方正仿宋_GBK" w:eastAsia="方正仿宋_GBK" w:cs="Times New Roman"/>
                <w:sz w:val="24"/>
              </w:rPr>
            </w:pPr>
            <w:r>
              <w:rPr>
                <w:rFonts w:hint="eastAsia" w:ascii="方正仿宋_GBK" w:eastAsia="方正仿宋_GBK" w:cs="Times New Roman"/>
                <w:color w:val="333333"/>
                <w:kern w:val="0"/>
                <w:sz w:val="24"/>
              </w:rPr>
              <w:t>结合本项目主要内容及要求，提供实施方案。对供应商提供的2023西洽会场馆进出管控项目实施方案的可行性、科学性、合理性，实施要点和管理要点的准确性和完善性，保证措施的合理性、可行性等方面进行打分。</w:t>
            </w:r>
          </w:p>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优得40分，良得30分，一般得20分，差得10分，未提供得0分。</w:t>
            </w:r>
          </w:p>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2．应急预案（10）</w:t>
            </w:r>
          </w:p>
          <w:p>
            <w:pPr>
              <w:snapToGrid w:val="0"/>
              <w:rPr>
                <w:rFonts w:ascii="方正仿宋_GBK" w:eastAsia="方正仿宋_GBK" w:cs="Times New Roman"/>
                <w:color w:val="333333"/>
                <w:kern w:val="0"/>
                <w:sz w:val="24"/>
              </w:rPr>
            </w:pPr>
            <w:r>
              <w:rPr>
                <w:rFonts w:hint="eastAsia" w:ascii="方正仿宋_GBK" w:eastAsia="方正仿宋_GBK" w:cs="Times New Roman"/>
                <w:color w:val="333333"/>
                <w:kern w:val="0"/>
                <w:sz w:val="24"/>
              </w:rPr>
              <w:t>结合本项目主要内容及要求，提供完整、</w:t>
            </w:r>
            <w:r>
              <w:rPr>
                <w:rFonts w:hint="eastAsia" w:ascii="方正仿宋_GBK" w:eastAsia="方正仿宋_GBK" w:cs="Times New Roman"/>
                <w:color w:val="333333"/>
                <w:sz w:val="24"/>
              </w:rPr>
              <w:t>详细的</w:t>
            </w:r>
            <w:r>
              <w:rPr>
                <w:rFonts w:hint="eastAsia" w:ascii="方正仿宋_GBK" w:eastAsia="方正仿宋_GBK" w:cs="Times New Roman"/>
                <w:color w:val="333333"/>
                <w:kern w:val="0"/>
                <w:sz w:val="24"/>
              </w:rPr>
              <w:t>登录系统突发状况的应急预案。</w:t>
            </w:r>
          </w:p>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优得10分，良得7分，一般得4分，差得1分，未提供得0分。</w:t>
            </w:r>
          </w:p>
        </w:tc>
        <w:tc>
          <w:tcPr>
            <w:tcW w:w="2297" w:type="dxa"/>
            <w:shd w:val="clear" w:color="auto" w:fill="auto"/>
            <w:tcMar>
              <w:top w:w="0" w:type="dxa"/>
              <w:left w:w="0" w:type="dxa"/>
              <w:bottom w:w="0" w:type="dxa"/>
              <w:right w:w="0" w:type="dxa"/>
            </w:tcMar>
            <w:vAlign w:val="center"/>
          </w:tcPr>
          <w:p>
            <w:pPr>
              <w:pStyle w:val="13"/>
              <w:widowControl/>
              <w:snapToGrid w:val="0"/>
              <w:spacing w:beforeAutospacing="0" w:afterAutospacing="0"/>
              <w:ind w:firstLine="420"/>
              <w:rPr>
                <w:rFonts w:ascii="方正仿宋_GBK" w:eastAsia="方正仿宋_GBK"/>
              </w:rPr>
            </w:pPr>
            <w:r>
              <w:rPr>
                <w:rFonts w:hint="eastAsia" w:ascii="方正仿宋_GBK" w:eastAsia="方正仿宋_GBK"/>
                <w:color w:val="333333"/>
              </w:rPr>
              <w:t>投标人提供相关方案或内容（格式自定）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rPr>
            </w:pPr>
            <w:r>
              <w:rPr>
                <w:rFonts w:hint="eastAsia" w:ascii="方正仿宋_GBK" w:eastAsia="方正仿宋_GBK"/>
                <w:color w:val="333333"/>
              </w:rPr>
              <w:t>3</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rPr>
            </w:pPr>
            <w:r>
              <w:rPr>
                <w:rFonts w:hint="eastAsia" w:ascii="方正仿宋_GBK" w:eastAsia="方正仿宋_GBK"/>
                <w:color w:val="333333"/>
              </w:rPr>
              <w:t>商务部分（30%）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rPr>
            </w:pPr>
            <w:r>
              <w:rPr>
                <w:rFonts w:hint="eastAsia" w:ascii="方正仿宋_GBK" w:eastAsia="方正仿宋_GBK"/>
                <w:color w:val="333333"/>
              </w:rPr>
              <w:t>30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1．展会服务能力或技术性能力（10）</w:t>
            </w:r>
          </w:p>
          <w:p>
            <w:pPr>
              <w:snapToGrid w:val="0"/>
              <w:rPr>
                <w:rFonts w:ascii="方正仿宋_GBK" w:eastAsia="方正仿宋_GBK" w:cs="Times New Roman"/>
                <w:color w:val="333333"/>
                <w:kern w:val="0"/>
                <w:sz w:val="24"/>
              </w:rPr>
            </w:pPr>
            <w:r>
              <w:rPr>
                <w:rFonts w:hint="eastAsia" w:ascii="方正仿宋_GBK" w:eastAsia="方正仿宋_GBK" w:cs="Times New Roman"/>
                <w:color w:val="333333"/>
                <w:kern w:val="0"/>
                <w:sz w:val="24"/>
              </w:rPr>
              <w:t>供应商法人证书或营业执照经营范围中含有负责展会服务性或技术性工作的得10分，未提供得0分。</w:t>
            </w:r>
          </w:p>
          <w:p>
            <w:pPr>
              <w:pStyle w:val="13"/>
              <w:widowControl/>
              <w:snapToGrid w:val="0"/>
              <w:spacing w:beforeAutospacing="0" w:afterAutospacing="0"/>
              <w:rPr>
                <w:rFonts w:ascii="方正仿宋_GBK" w:eastAsia="方正仿宋_GBK"/>
                <w:color w:val="333333"/>
              </w:rPr>
            </w:pPr>
            <w:r>
              <w:rPr>
                <w:rFonts w:hint="eastAsia" w:ascii="方正仿宋_GBK" w:eastAsia="方正仿宋_GBK"/>
                <w:color w:val="333333"/>
              </w:rPr>
              <w:t>2．业绩（20）</w:t>
            </w:r>
          </w:p>
          <w:p>
            <w:pPr>
              <w:pStyle w:val="13"/>
              <w:widowControl/>
              <w:snapToGrid w:val="0"/>
              <w:spacing w:beforeAutospacing="0" w:afterAutospacing="0"/>
              <w:rPr>
                <w:rFonts w:ascii="方正仿宋_GBK" w:eastAsia="方正仿宋_GBK"/>
                <w:color w:val="333333"/>
                <w:highlight w:val="yellow"/>
              </w:rPr>
            </w:pPr>
            <w:r>
              <w:rPr>
                <w:rFonts w:hint="eastAsia" w:ascii="方正仿宋_GBK" w:eastAsia="方正仿宋_GBK"/>
                <w:color w:val="333333"/>
              </w:rPr>
              <w:t>提供2021年1月1日以来承担过省级及以上党政机关主办的展会或政府活动的场馆进出管控，每提供1份合同或其他有效证明文件的得10分，最多20分。</w:t>
            </w:r>
          </w:p>
        </w:tc>
        <w:tc>
          <w:tcPr>
            <w:tcW w:w="2297" w:type="dxa"/>
            <w:shd w:val="clear" w:color="auto" w:fill="auto"/>
            <w:tcMar>
              <w:top w:w="0" w:type="dxa"/>
              <w:left w:w="0" w:type="dxa"/>
              <w:bottom w:w="0" w:type="dxa"/>
              <w:right w:w="0" w:type="dxa"/>
            </w:tcMar>
            <w:vAlign w:val="center"/>
          </w:tcPr>
          <w:p>
            <w:pPr>
              <w:pStyle w:val="13"/>
              <w:widowControl/>
              <w:snapToGrid w:val="0"/>
              <w:spacing w:beforeAutospacing="0" w:afterAutospacing="0"/>
              <w:ind w:firstLine="420"/>
              <w:rPr>
                <w:rFonts w:ascii="方正仿宋_GBK" w:eastAsia="方正仿宋_GBK"/>
                <w:color w:val="333333"/>
              </w:rPr>
            </w:pPr>
            <w:r>
              <w:rPr>
                <w:rFonts w:hint="eastAsia" w:ascii="方正仿宋_GBK" w:eastAsia="方正仿宋_GBK"/>
                <w:color w:val="333333"/>
              </w:rPr>
              <w:t>投标人提供相关资料（格式自定）</w:t>
            </w:r>
          </w:p>
        </w:tc>
      </w:tr>
    </w:tbl>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七、报名时间</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2023年</w:t>
      </w:r>
      <w:r>
        <w:rPr>
          <w:rFonts w:hint="eastAsia" w:ascii="Times New Roman" w:hAnsi="Times New Roman" w:eastAsia="方正仿宋_GBK"/>
          <w:color w:val="333333"/>
          <w:sz w:val="32"/>
          <w:szCs w:val="32"/>
          <w:shd w:val="clear" w:color="auto" w:fill="FFFFFF"/>
          <w:lang w:val="en-US" w:eastAsia="zh-CN"/>
        </w:rPr>
        <w:t>3</w:t>
      </w:r>
      <w:r>
        <w:rPr>
          <w:rFonts w:ascii="Times New Roman" w:hAnsi="Times New Roman" w:eastAsia="方正仿宋_GBK"/>
          <w:color w:val="333333"/>
          <w:sz w:val="32"/>
          <w:szCs w:val="32"/>
          <w:shd w:val="clear" w:color="auto" w:fill="FFFFFF"/>
        </w:rPr>
        <w:t>月</w:t>
      </w:r>
      <w:r>
        <w:rPr>
          <w:rFonts w:hint="eastAsia" w:ascii="Times New Roman" w:hAnsi="Times New Roman" w:eastAsia="方正仿宋_GBK"/>
          <w:color w:val="333333"/>
          <w:sz w:val="32"/>
          <w:szCs w:val="32"/>
          <w:shd w:val="clear" w:color="auto" w:fill="FFFFFF"/>
          <w:lang w:val="en-US" w:eastAsia="zh-CN"/>
        </w:rPr>
        <w:t>14</w:t>
      </w:r>
      <w:r>
        <w:rPr>
          <w:rFonts w:ascii="Times New Roman" w:hAnsi="Times New Roman" w:eastAsia="方正仿宋_GBK"/>
          <w:color w:val="333333"/>
          <w:sz w:val="32"/>
          <w:szCs w:val="32"/>
          <w:shd w:val="clear" w:color="auto" w:fill="FFFFFF"/>
        </w:rPr>
        <w:t>日下午</w:t>
      </w:r>
      <w:r>
        <w:rPr>
          <w:rFonts w:hint="eastAsia" w:ascii="Times New Roman" w:hAnsi="Times New Roman" w:eastAsia="方正仿宋_GBK"/>
          <w:color w:val="333333"/>
          <w:sz w:val="32"/>
          <w:szCs w:val="32"/>
          <w:shd w:val="clear" w:color="auto" w:fill="FFFFFF"/>
          <w:lang w:val="en-US" w:eastAsia="zh-CN"/>
        </w:rPr>
        <w:t>5</w:t>
      </w:r>
      <w:r>
        <w:rPr>
          <w:rFonts w:ascii="Times New Roman" w:hAnsi="Times New Roman" w:eastAsia="方正仿宋_GBK"/>
          <w:color w:val="333333"/>
          <w:sz w:val="32"/>
          <w:szCs w:val="32"/>
          <w:shd w:val="clear" w:color="auto" w:fill="FFFFFF"/>
        </w:rPr>
        <w:t>：00点之前，迟到或不符合规定的投标文件恕不接受。</w:t>
      </w:r>
      <w:bookmarkStart w:id="0" w:name="_GoBack"/>
      <w:bookmarkEnd w:id="0"/>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八、报名资料</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报名资料须采用信封包装并密封（一式五份</w:t>
      </w:r>
      <w:r>
        <w:rPr>
          <w:rFonts w:hint="eastAsia" w:ascii="Times New Roman" w:hAnsi="Times New Roman" w:eastAsia="方正仿宋_GBK"/>
          <w:color w:val="333333"/>
          <w:sz w:val="32"/>
          <w:szCs w:val="32"/>
          <w:shd w:val="clear" w:color="auto" w:fill="FFFFFF"/>
          <w:lang w:eastAsia="zh-CN"/>
        </w:rPr>
        <w:t>，</w:t>
      </w:r>
      <w:r>
        <w:rPr>
          <w:rFonts w:hint="eastAsia" w:ascii="Times New Roman" w:hAnsi="Times New Roman" w:eastAsia="方正仿宋_GBK"/>
          <w:color w:val="333333"/>
          <w:sz w:val="32"/>
          <w:szCs w:val="32"/>
          <w:shd w:val="clear" w:color="auto" w:fill="FFFFFF"/>
          <w:lang w:val="en-US" w:eastAsia="zh-CN"/>
        </w:rPr>
        <w:t>一正四副</w:t>
      </w:r>
      <w:r>
        <w:rPr>
          <w:rFonts w:ascii="Times New Roman" w:hAnsi="Times New Roman" w:eastAsia="方正仿宋_GBK"/>
          <w:color w:val="333333"/>
          <w:sz w:val="32"/>
          <w:szCs w:val="32"/>
          <w:shd w:val="clear" w:color="auto" w:fill="FFFFFF"/>
        </w:rPr>
        <w:t>），</w:t>
      </w:r>
      <w:r>
        <w:rPr>
          <w:rFonts w:hint="eastAsia" w:ascii="Times New Roman" w:hAnsi="Times New Roman" w:eastAsia="方正仿宋_GBK"/>
          <w:color w:val="333333"/>
          <w:sz w:val="32"/>
          <w:szCs w:val="32"/>
          <w:shd w:val="clear" w:color="auto" w:fill="FFFFFF"/>
          <w:lang w:val="en-US" w:eastAsia="zh-CN"/>
        </w:rPr>
        <w:t>正本</w:t>
      </w:r>
      <w:r>
        <w:rPr>
          <w:rFonts w:ascii="Times New Roman" w:hAnsi="Times New Roman" w:eastAsia="方正仿宋_GBK"/>
          <w:color w:val="333333"/>
          <w:sz w:val="32"/>
          <w:szCs w:val="32"/>
          <w:shd w:val="clear" w:color="auto" w:fill="FFFFFF"/>
        </w:rPr>
        <w:t>电子材料1份。信封上注明项目名称、供应商名称等字样。信封的封口应加盖供应商公章或法人授权代表签字。报名资料包括如下内容：</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（一）投标人简介、营业执照等资质证明材料。</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（二）投标方案及价格（包括所有费用的全包价）。</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（三）类似案例和荣誉的证明。</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（四）上一年度财务状况报告（表）或其基本帐户开户银行出具的资信证明复印件，本年度新成立或成立不满一年的组织和自然人无法提供财务状况报告（表）的，可提供银行出具的资信证明复印件。</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（五）书面声明，承诺具有履行合同所必需的设备和专业技术能力；承诺参加政府采购活动前三年内，在经营活动中没有受过刑事处罚、行政处罚、行业自律惩戒。</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（六）依法缴纳税收和社会保障金的证明材料复印件；依法免税或不需要缴纳社会保障资金的供应商，应提供相应文件证明其依法免税或不需要缴纳社会保障资金。</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（七）投标人法定代表人证明书或授权委托函原件材料。</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（八）投标人认为需要提供的其他材料。</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九、报名方式</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本项目仅接受现场登记，请前往重庆市南岸区南滨路162号2幢</w:t>
      </w:r>
      <w:r>
        <w:rPr>
          <w:rFonts w:hint="eastAsia" w:ascii="Times New Roman" w:hAnsi="Times New Roman" w:eastAsia="方正仿宋_GBK"/>
          <w:color w:val="333333"/>
          <w:sz w:val="32"/>
          <w:szCs w:val="32"/>
          <w:shd w:val="clear" w:color="auto" w:fill="FFFFFF"/>
        </w:rPr>
        <w:t>1903</w:t>
      </w:r>
      <w:r>
        <w:rPr>
          <w:rFonts w:ascii="Times New Roman" w:hAnsi="Times New Roman" w:eastAsia="方正仿宋_GBK"/>
          <w:color w:val="333333"/>
          <w:sz w:val="32"/>
          <w:szCs w:val="32"/>
          <w:shd w:val="clear" w:color="auto" w:fill="FFFFFF"/>
        </w:rPr>
        <w:t>号房间。</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十、其他需要公告内容</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（一）本项目不接受联合体投标。</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（二）本文件所涉及时间一律为北京时间。</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违约责任。若投标人无故弃标或存在其他违反招投标诚信行为的，将列入我委采购黑名单，不予接受任何采购供应服务，同时视情将有关情况报送相关财政部门，由财政部门根据实际情况记入供应商诚信档案。</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（四）我委享有最终解释权。</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（五）联系人：谭老师，联系电话：023-62663069，联系地址：重庆市南岸区南滨路162号2幢。</w:t>
      </w:r>
    </w:p>
    <w:p>
      <w:pPr>
        <w:pStyle w:val="13"/>
        <w:widowControl/>
        <w:spacing w:beforeAutospacing="0" w:afterAutospacing="0"/>
        <w:ind w:firstLine="5760" w:firstLineChars="18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重庆市商务委员会</w:t>
      </w:r>
    </w:p>
    <w:p>
      <w:pPr>
        <w:pStyle w:val="13"/>
        <w:widowControl/>
        <w:spacing w:beforeAutospacing="0" w:afterAutospacing="0"/>
        <w:ind w:firstLine="5760" w:firstLineChars="18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2023年</w:t>
      </w:r>
      <w:r>
        <w:rPr>
          <w:rFonts w:hint="eastAsia" w:ascii="Times New Roman" w:hAnsi="Times New Roman" w:eastAsia="方正仿宋_GBK"/>
          <w:color w:val="333333"/>
          <w:sz w:val="32"/>
          <w:szCs w:val="32"/>
          <w:shd w:val="clear" w:color="auto" w:fill="FFFFFF"/>
          <w:lang w:val="en-US" w:eastAsia="zh-CN"/>
        </w:rPr>
        <w:t>3</w:t>
      </w:r>
      <w:r>
        <w:rPr>
          <w:rFonts w:ascii="Times New Roman" w:hAnsi="Times New Roman" w:eastAsia="方正仿宋_GBK"/>
          <w:color w:val="333333"/>
          <w:sz w:val="32"/>
          <w:szCs w:val="32"/>
          <w:shd w:val="clear" w:color="auto" w:fill="FFFFFF"/>
        </w:rPr>
        <w:t>月</w:t>
      </w:r>
      <w:r>
        <w:rPr>
          <w:rFonts w:hint="eastAsia" w:ascii="Times New Roman" w:hAnsi="Times New Roman" w:eastAsia="方正仿宋_GBK"/>
          <w:color w:val="333333"/>
          <w:sz w:val="32"/>
          <w:szCs w:val="32"/>
          <w:shd w:val="clear" w:color="auto" w:fill="FFFFFF"/>
          <w:lang w:val="en-US" w:eastAsia="zh-CN"/>
        </w:rPr>
        <w:t>9</w:t>
      </w:r>
      <w:r>
        <w:rPr>
          <w:rFonts w:ascii="Times New Roman" w:hAnsi="Times New Roman" w:eastAsia="方正仿宋_GBK"/>
          <w:color w:val="333333"/>
          <w:sz w:val="32"/>
          <w:szCs w:val="32"/>
          <w:shd w:val="clear" w:color="auto" w:fill="FFFFFF"/>
        </w:rPr>
        <w:t>日</w:t>
      </w:r>
    </w:p>
    <w:sectPr>
      <w:footerReference r:id="rId3" w:type="default"/>
      <w:footerReference r:id="rId4" w:type="even"/>
      <w:pgSz w:w="11906" w:h="16838"/>
      <w:pgMar w:top="2098" w:right="1531" w:bottom="1985"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uxi Sans">
    <w:altName w:val="Arial"/>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宋体"/>
        <w:sz w:val="28"/>
        <w:szCs w:val="28"/>
      </w:rPr>
    </w:pPr>
    <w:r>
      <w:rPr>
        <w:rFonts w:hint="eastAsia" w:ascii="宋体"/>
        <w:sz w:val="28"/>
        <w:szCs w:val="28"/>
      </w:rPr>
      <w:t>—</w:t>
    </w:r>
    <w:r>
      <w:rPr>
        <w:rFonts w:ascii="宋体"/>
        <w:sz w:val="28"/>
        <w:szCs w:val="28"/>
      </w:rPr>
      <w:t xml:space="preserve"> </w:t>
    </w:r>
    <w:r>
      <w:rPr>
        <w:rFonts w:ascii="宋体"/>
        <w:sz w:val="28"/>
        <w:szCs w:val="28"/>
      </w:rPr>
      <w:fldChar w:fldCharType="begin"/>
    </w:r>
    <w:r>
      <w:rPr>
        <w:rFonts w:ascii="宋体"/>
        <w:sz w:val="28"/>
        <w:szCs w:val="28"/>
      </w:rPr>
      <w:instrText xml:space="preserve">PAGE   \* MERGEFORMAT</w:instrText>
    </w:r>
    <w:r>
      <w:rPr>
        <w:rFonts w:ascii="宋体"/>
        <w:sz w:val="28"/>
        <w:szCs w:val="28"/>
      </w:rPr>
      <w:fldChar w:fldCharType="separate"/>
    </w:r>
    <w:r>
      <w:rPr>
        <w:rFonts w:ascii="宋体"/>
        <w:sz w:val="28"/>
        <w:szCs w:val="28"/>
        <w:lang w:val="zh-CN"/>
      </w:rPr>
      <w:t>1</w:t>
    </w:r>
    <w:r>
      <w:rPr>
        <w:rFonts w:ascii="宋体"/>
        <w:sz w:val="28"/>
        <w:szCs w:val="28"/>
      </w:rPr>
      <w:fldChar w:fldCharType="end"/>
    </w:r>
    <w:r>
      <w:rPr>
        <w:rFonts w:ascii="宋体"/>
        <w:sz w:val="28"/>
        <w:szCs w:val="28"/>
      </w:rPr>
      <w:t xml:space="preserve"> </w:t>
    </w:r>
    <w:r>
      <w:rPr>
        <w:rFonts w:hint="eastAsia" w:asci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宋体"/>
        <w:sz w:val="28"/>
        <w:szCs w:val="28"/>
      </w:rPr>
    </w:pPr>
    <w:r>
      <w:rPr>
        <w:rFonts w:hint="eastAsia" w:ascii="宋体"/>
        <w:sz w:val="28"/>
        <w:szCs w:val="28"/>
      </w:rPr>
      <w:t>—</w:t>
    </w:r>
    <w:r>
      <w:rPr>
        <w:rFonts w:ascii="宋体"/>
        <w:sz w:val="28"/>
        <w:szCs w:val="28"/>
      </w:rPr>
      <w:t xml:space="preserve"> </w:t>
    </w:r>
    <w:r>
      <w:rPr>
        <w:rFonts w:ascii="宋体"/>
        <w:sz w:val="28"/>
        <w:szCs w:val="28"/>
      </w:rPr>
      <w:fldChar w:fldCharType="begin"/>
    </w:r>
    <w:r>
      <w:rPr>
        <w:rFonts w:ascii="宋体"/>
        <w:sz w:val="28"/>
        <w:szCs w:val="28"/>
      </w:rPr>
      <w:instrText xml:space="preserve">PAGE   \* MERGEFORMAT</w:instrText>
    </w:r>
    <w:r>
      <w:rPr>
        <w:rFonts w:ascii="宋体"/>
        <w:sz w:val="28"/>
        <w:szCs w:val="28"/>
      </w:rPr>
      <w:fldChar w:fldCharType="separate"/>
    </w:r>
    <w:r>
      <w:rPr>
        <w:rFonts w:ascii="宋体"/>
        <w:sz w:val="28"/>
        <w:szCs w:val="28"/>
        <w:lang w:val="zh-CN"/>
      </w:rPr>
      <w:t>1</w:t>
    </w:r>
    <w:r>
      <w:rPr>
        <w:rFonts w:ascii="宋体"/>
        <w:sz w:val="28"/>
        <w:szCs w:val="28"/>
      </w:rPr>
      <w:fldChar w:fldCharType="end"/>
    </w:r>
    <w:r>
      <w:rPr>
        <w:rFonts w:ascii="宋体"/>
        <w:sz w:val="28"/>
        <w:szCs w:val="28"/>
      </w:rPr>
      <w:t xml:space="preserve"> </w:t>
    </w:r>
    <w:r>
      <w:rPr>
        <w:rFonts w:hint="eastAsia" w:ascii="宋体"/>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evenAndOddHeaders w:val="1"/>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YjMzNTIzOWM3YWU0ZTg2ZmFkYjA0MmM1NDE3YWU1MzcifQ=="/>
  </w:docVars>
  <w:rsids>
    <w:rsidRoot w:val="00000000"/>
    <w:rsid w:val="0B82771F"/>
    <w:rsid w:val="63161D7D"/>
    <w:rsid w:val="64AD47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4"/>
      <w:lang w:val="en-US" w:eastAsia="zh-CN" w:bidi="ar-SA"/>
    </w:rPr>
  </w:style>
  <w:style w:type="paragraph" w:styleId="3">
    <w:name w:val="heading 1"/>
    <w:basedOn w:val="1"/>
    <w:next w:val="1"/>
    <w:uiPriority w:val="0"/>
    <w:pPr>
      <w:keepNext/>
      <w:keepLines/>
      <w:spacing w:before="340" w:after="330" w:line="578" w:lineRule="auto"/>
      <w:outlineLvl w:val="0"/>
    </w:pPr>
    <w:rPr>
      <w:b/>
      <w:bCs/>
      <w:kern w:val="44"/>
      <w:sz w:val="44"/>
    </w:rPr>
  </w:style>
  <w:style w:type="paragraph" w:styleId="4">
    <w:name w:val="heading 2"/>
    <w:basedOn w:val="1"/>
    <w:next w:val="1"/>
    <w:uiPriority w:val="0"/>
    <w:pPr>
      <w:keepNext/>
      <w:keepLines/>
      <w:spacing w:before="260" w:after="260" w:line="415" w:lineRule="auto"/>
      <w:outlineLvl w:val="1"/>
    </w:pPr>
    <w:rPr>
      <w:rFonts w:ascii="Luxi Sans" w:hAnsi="Luxi Sans" w:eastAsia="黑体"/>
      <w:b/>
      <w:sz w:val="32"/>
    </w:rPr>
  </w:style>
  <w:style w:type="paragraph" w:styleId="2">
    <w:name w:val="heading 3"/>
    <w:basedOn w:val="1"/>
    <w:next w:val="1"/>
    <w:qFormat/>
    <w:uiPriority w:val="0"/>
    <w:pPr>
      <w:keepNext/>
      <w:keepLines/>
      <w:widowControl w:val="0"/>
      <w:spacing w:before="260" w:after="260" w:line="413" w:lineRule="auto"/>
      <w:outlineLvl w:val="2"/>
    </w:pPr>
    <w:rPr>
      <w:b/>
      <w:sz w:val="32"/>
    </w:rPr>
  </w:style>
  <w:style w:type="character" w:default="1" w:styleId="15">
    <w:name w:val="Default Paragraph Font"/>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5">
    <w:name w:val="annotation text"/>
    <w:basedOn w:val="1"/>
    <w:uiPriority w:val="0"/>
    <w:pPr>
      <w:jc w:val="left"/>
    </w:pPr>
  </w:style>
  <w:style w:type="paragraph" w:styleId="6">
    <w:name w:val="toc 5"/>
    <w:basedOn w:val="1"/>
    <w:next w:val="1"/>
    <w:qFormat/>
    <w:uiPriority w:val="0"/>
    <w:pPr>
      <w:ind w:left="1680"/>
    </w:pPr>
  </w:style>
  <w:style w:type="paragraph" w:styleId="7">
    <w:name w:val="toc 3"/>
    <w:basedOn w:val="1"/>
    <w:next w:val="1"/>
    <w:qFormat/>
    <w:uiPriority w:val="0"/>
    <w:pPr>
      <w:ind w:left="840"/>
    </w:p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paragraph" w:styleId="11">
    <w:name w:val="toc 4"/>
    <w:basedOn w:val="1"/>
    <w:next w:val="1"/>
    <w:qFormat/>
    <w:uiPriority w:val="0"/>
    <w:pPr>
      <w:ind w:left="1260"/>
    </w:pPr>
  </w:style>
  <w:style w:type="paragraph" w:styleId="12">
    <w:name w:val="toc 2"/>
    <w:basedOn w:val="1"/>
    <w:next w:val="1"/>
    <w:uiPriority w:val="0"/>
    <w:pPr>
      <w:ind w:left="420"/>
    </w:pPr>
  </w:style>
  <w:style w:type="paragraph" w:styleId="13">
    <w:name w:val="Normal (Web)"/>
    <w:basedOn w:val="1"/>
    <w:qFormat/>
    <w:uiPriority w:val="0"/>
    <w:pPr>
      <w:spacing w:beforeAutospacing="1" w:afterAutospacing="1"/>
      <w:jc w:val="left"/>
    </w:pPr>
    <w:rPr>
      <w:rFonts w:cs="Times New Roman"/>
      <w:kern w:val="0"/>
      <w:sz w:val="24"/>
    </w:rPr>
  </w:style>
  <w:style w:type="character" w:styleId="16">
    <w:name w:val="Strong"/>
    <w:basedOn w:val="1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6</Pages>
  <Words>2522</Words>
  <Characters>2588</Characters>
  <Lines>157</Lines>
  <Paragraphs>84</Paragraphs>
  <TotalTime>1</TotalTime>
  <ScaleCrop>false</ScaleCrop>
  <LinksUpToDate>false</LinksUpToDate>
  <CharactersWithSpaces>2588</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刘倩</cp:lastModifiedBy>
  <cp:lastPrinted>2023-02-16T08:09:00Z</cp:lastPrinted>
  <dcterms:modified xsi:type="dcterms:W3CDTF">2023-03-09T03:21:40Z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BFB02F9BF7D64114A848E3185DAAA236</vt:lpwstr>
  </property>
</Properties>
</file>