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
        <w:widowControl/>
        <w:spacing w:beforeAutospacing="0" w:afterAutospacing="0" w:line="580" w:lineRule="exact"/>
        <w:jc w:val="center"/>
        <w:rPr>
          <w:rFonts w:ascii="Times New Roman" w:hAnsi="Times New Roman" w:eastAsia="方正小标宋_GBK"/>
          <w:color w:val="000000"/>
          <w:sz w:val="44"/>
          <w:szCs w:val="44"/>
        </w:rPr>
      </w:pPr>
      <w:r>
        <w:rPr>
          <w:rFonts w:hint="eastAsia" w:ascii="Times New Roman" w:hAnsi="Times New Roman" w:eastAsia="方正小标宋_GBK"/>
          <w:color w:val="000000"/>
          <w:sz w:val="44"/>
          <w:szCs w:val="44"/>
        </w:rPr>
        <w:t>第五届西洽会大会证件制作相关服务项目</w:t>
      </w:r>
    </w:p>
    <w:p>
      <w:pPr>
        <w:pStyle w:val="13"/>
        <w:widowControl/>
        <w:spacing w:beforeAutospacing="0" w:afterAutospacing="0" w:line="580" w:lineRule="exact"/>
        <w:jc w:val="center"/>
        <w:rPr>
          <w:rFonts w:ascii="Times New Roman" w:hAnsi="Times New Roman" w:eastAsia="方正小标宋_GBK"/>
          <w:color w:val="000000"/>
          <w:sz w:val="44"/>
          <w:szCs w:val="44"/>
        </w:rPr>
      </w:pPr>
      <w:r>
        <w:rPr>
          <w:rFonts w:ascii="Times New Roman" w:hAnsi="Times New Roman" w:eastAsia="方正小标宋_GBK"/>
          <w:color w:val="000000"/>
          <w:sz w:val="44"/>
          <w:szCs w:val="44"/>
        </w:rPr>
        <w:t>采购公告</w:t>
      </w:r>
    </w:p>
    <w:p>
      <w:pPr>
        <w:pStyle w:val="13"/>
        <w:widowControl/>
        <w:spacing w:beforeAutospacing="0" w:afterAutospacing="0"/>
        <w:ind w:firstLine="880" w:firstLineChars="200"/>
        <w:jc w:val="both"/>
        <w:rPr>
          <w:rFonts w:ascii="Times New Roman" w:hAnsi="Times New Roman" w:eastAsia="方正小标宋_GBK"/>
          <w:color w:val="000000"/>
          <w:sz w:val="44"/>
          <w:szCs w:val="44"/>
        </w:rPr>
      </w:pPr>
    </w:p>
    <w:p>
      <w:pPr>
        <w:pStyle w:val="13"/>
        <w:widowControl/>
        <w:spacing w:beforeAutospacing="0" w:afterAutospacing="0"/>
        <w:ind w:firstLine="640" w:firstLineChars="200"/>
        <w:jc w:val="both"/>
        <w:rPr>
          <w:rFonts w:ascii="Times New Roman" w:hAnsi="Times New Roman" w:eastAsia="方正黑体_GBK"/>
          <w:b/>
          <w:bCs/>
          <w:sz w:val="32"/>
          <w:szCs w:val="32"/>
        </w:rPr>
      </w:pPr>
      <w:r>
        <w:rPr>
          <w:rStyle w:val="16"/>
          <w:rFonts w:ascii="Times New Roman" w:hAnsi="Times New Roman" w:eastAsia="方正黑体_GBK"/>
          <w:b w:val="0"/>
          <w:bCs/>
          <w:color w:val="333333"/>
          <w:sz w:val="32"/>
          <w:szCs w:val="32"/>
          <w:shd w:val="clear" w:color="auto" w:fill="FFFFFF"/>
        </w:rPr>
        <w:t>一、项目名称</w:t>
      </w:r>
    </w:p>
    <w:p>
      <w:pPr>
        <w:pStyle w:val="13"/>
        <w:widowControl/>
        <w:spacing w:beforeAutospacing="0" w:afterAutospacing="0"/>
        <w:ind w:firstLine="640" w:firstLineChars="200"/>
        <w:jc w:val="both"/>
        <w:rPr>
          <w:rFonts w:ascii="Times New Roman" w:hAnsi="Times New Roman" w:eastAsia="方正仿宋_GBK"/>
          <w:sz w:val="32"/>
          <w:szCs w:val="32"/>
        </w:rPr>
      </w:pPr>
      <w:r>
        <w:rPr>
          <w:rFonts w:hint="eastAsia" w:ascii="Times New Roman" w:hAnsi="Times New Roman" w:eastAsia="方正仿宋_GBK"/>
          <w:color w:val="333333"/>
          <w:sz w:val="32"/>
          <w:szCs w:val="32"/>
          <w:shd w:val="clear" w:color="auto" w:fill="FFFFFF"/>
        </w:rPr>
        <w:t>第五届西洽会大会证件制作相关服务</w:t>
      </w:r>
      <w:r>
        <w:rPr>
          <w:rFonts w:ascii="Times New Roman" w:hAnsi="Times New Roman" w:eastAsia="方正仿宋_GBK"/>
          <w:color w:val="333333"/>
          <w:sz w:val="32"/>
          <w:szCs w:val="32"/>
          <w:shd w:val="clear" w:color="auto" w:fill="FFFFFF"/>
        </w:rPr>
        <w:t>。</w:t>
      </w:r>
    </w:p>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二、项目预算金额</w:t>
      </w:r>
      <w:r>
        <w:rPr>
          <w:rStyle w:val="16"/>
          <w:rFonts w:hint="eastAsia" w:ascii="Times New Roman" w:hAnsi="Times New Roman" w:eastAsia="方正黑体_GBK"/>
          <w:b w:val="0"/>
          <w:bCs/>
          <w:color w:val="333333"/>
          <w:sz w:val="32"/>
          <w:szCs w:val="32"/>
          <w:shd w:val="clear" w:color="auto" w:fill="FFFFFF"/>
        </w:rPr>
        <w:t>、报价要求及付款方式</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hint="eastAsia" w:ascii="Times New Roman" w:hAnsi="Times New Roman" w:eastAsia="方正楷体_GBK"/>
          <w:color w:val="333333"/>
          <w:sz w:val="32"/>
          <w:szCs w:val="32"/>
          <w:shd w:val="clear" w:color="auto" w:fill="FFFFFF"/>
        </w:rPr>
        <w:t>（一）预算金额：</w:t>
      </w:r>
      <w:r>
        <w:rPr>
          <w:rFonts w:ascii="Times New Roman" w:hAnsi="Times New Roman" w:eastAsia="方正仿宋_GBK"/>
          <w:color w:val="333333"/>
          <w:sz w:val="32"/>
          <w:szCs w:val="32"/>
          <w:shd w:val="clear" w:color="auto" w:fill="FFFFFF"/>
        </w:rPr>
        <w:t>人民币49万元。</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hint="eastAsia" w:ascii="Times New Roman" w:hAnsi="Times New Roman" w:eastAsia="方正楷体_GBK"/>
          <w:color w:val="333333"/>
          <w:sz w:val="32"/>
          <w:szCs w:val="32"/>
          <w:shd w:val="clear" w:color="auto" w:fill="FFFFFF"/>
        </w:rPr>
        <w:t>（二）报价要求：</w:t>
      </w:r>
      <w:r>
        <w:rPr>
          <w:rFonts w:hint="eastAsia" w:ascii="Times New Roman" w:hAnsi="Times New Roman" w:eastAsia="方正仿宋_GBK"/>
          <w:color w:val="333333"/>
          <w:sz w:val="32"/>
          <w:szCs w:val="32"/>
          <w:shd w:val="clear" w:color="auto" w:fill="FFFFFF"/>
        </w:rPr>
        <w:t>投标报价应包括完成项目的全部费用，包括（但不限于）组织协调费、策划设计费、搭建费、执行费、材料费、场地费、办公费、人工费、保险费、验收专家费、税费等一切费用。因中标人自身原因造成漏报、少报皆由其自行承担责任，采购人不再补偿。</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hint="eastAsia" w:ascii="Times New Roman" w:hAnsi="Times New Roman" w:eastAsia="方正楷体_GBK"/>
          <w:color w:val="333333"/>
          <w:sz w:val="32"/>
          <w:szCs w:val="32"/>
          <w:shd w:val="clear" w:color="auto" w:fill="FFFFFF"/>
        </w:rPr>
        <w:t>（三）付款方式：</w:t>
      </w:r>
      <w:r>
        <w:rPr>
          <w:rFonts w:hint="eastAsia" w:ascii="Times New Roman" w:hAnsi="Times New Roman" w:eastAsia="方正仿宋_GBK"/>
          <w:color w:val="333333"/>
          <w:sz w:val="32"/>
          <w:szCs w:val="32"/>
          <w:shd w:val="clear" w:color="auto" w:fill="FFFFFF"/>
        </w:rPr>
        <w:t>合同签订后三天内由中标人提供足额增值税发票，并经采购人确定的跟审单位确认，采购人按资金审批流程支付合同金额的40％；中标人按采购合同完成所有工作内容、提交项目成果资料（包括但不限于文字资料、图片资料、影像资料、数据统计等），由跟审单位完成项目绩效评价，项目终验后的一个月内按照跟审单位确认的金额，由中标人提供足额增值税发票后，采购人按资金审批流程支付剩余尾款。</w:t>
      </w:r>
    </w:p>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三、服务期限</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hint="eastAsia" w:ascii="Times New Roman" w:hAnsi="Times New Roman" w:eastAsia="方正仿宋_GBK"/>
          <w:color w:val="333333"/>
          <w:sz w:val="32"/>
          <w:szCs w:val="32"/>
          <w:shd w:val="clear" w:color="auto" w:fill="FFFFFF"/>
        </w:rPr>
        <w:t>第五届西洽会</w:t>
      </w:r>
    </w:p>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四、项目主要内容及要求</w:t>
      </w:r>
    </w:p>
    <w:p>
      <w:pPr>
        <w:pStyle w:val="13"/>
        <w:widowControl/>
        <w:spacing w:beforeAutospacing="0" w:afterAutospacing="0"/>
        <w:ind w:firstLine="640" w:firstLineChars="200"/>
        <w:jc w:val="both"/>
        <w:rPr>
          <w:rFonts w:ascii="Times New Roman" w:hAnsi="Times New Roman" w:eastAsia="方正楷体_GBK"/>
          <w:color w:val="333333"/>
          <w:sz w:val="32"/>
          <w:szCs w:val="32"/>
          <w:shd w:val="clear" w:color="auto" w:fill="FFFFFF"/>
        </w:rPr>
      </w:pPr>
      <w:r>
        <w:rPr>
          <w:rFonts w:ascii="Times New Roman" w:hAnsi="Times New Roman" w:eastAsia="方正楷体_GBK"/>
          <w:color w:val="333333"/>
          <w:sz w:val="32"/>
          <w:szCs w:val="32"/>
          <w:shd w:val="clear" w:color="auto" w:fill="FFFFFF"/>
        </w:rPr>
        <w:t>（一）证件设计</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对证件进行设计，包含人员证件设计和车辆证件设计。</w:t>
      </w:r>
    </w:p>
    <w:p>
      <w:pPr>
        <w:pStyle w:val="13"/>
        <w:widowControl/>
        <w:numPr>
          <w:ilvl w:val="0"/>
          <w:numId w:val="1"/>
        </w:numPr>
        <w:spacing w:beforeAutospacing="0" w:afterAutospacing="0"/>
        <w:ind w:left="0" w:firstLine="640" w:firstLineChars="200"/>
        <w:jc w:val="both"/>
        <w:rPr>
          <w:rFonts w:ascii="Times New Roman" w:hAnsi="Times New Roman" w:eastAsia="方正楷体_GBK"/>
          <w:color w:val="333333"/>
          <w:sz w:val="32"/>
          <w:szCs w:val="32"/>
          <w:shd w:val="clear" w:color="auto" w:fill="FFFFFF"/>
        </w:rPr>
      </w:pPr>
      <w:r>
        <w:rPr>
          <w:rFonts w:ascii="Times New Roman" w:hAnsi="Times New Roman" w:eastAsia="方正楷体_GBK"/>
          <w:color w:val="333333"/>
          <w:sz w:val="32"/>
          <w:szCs w:val="32"/>
          <w:shd w:val="clear" w:color="auto" w:fill="FFFFFF"/>
        </w:rPr>
        <w:t>证件制作</w:t>
      </w:r>
    </w:p>
    <w:p>
      <w:pPr>
        <w:pStyle w:val="13"/>
        <w:widowControl/>
        <w:spacing w:beforeAutospacing="0" w:afterAutospacing="0"/>
        <w:ind w:firstLine="640" w:firstLineChars="200"/>
        <w:jc w:val="both"/>
        <w:rPr>
          <w:rFonts w:ascii="Times New Roman" w:hAnsi="Times New Roman" w:eastAsia="方正仿宋_GBK"/>
          <w:color w:val="333333"/>
          <w:sz w:val="32"/>
          <w:szCs w:val="32"/>
          <w:highlight w:val="yellow"/>
          <w:shd w:val="clear" w:color="auto" w:fill="FFFFFF"/>
        </w:rPr>
      </w:pPr>
      <w:r>
        <w:rPr>
          <w:rFonts w:ascii="Times New Roman" w:hAnsi="Times New Roman" w:eastAsia="方正仿宋_GBK"/>
          <w:color w:val="333333"/>
          <w:sz w:val="32"/>
          <w:szCs w:val="32"/>
          <w:shd w:val="clear" w:color="auto" w:fill="FFFFFF"/>
        </w:rPr>
        <w:t>1．人员证件制作：制作总数不超过约定数量的10%不再收取超出的制作费用，超过10%的部分按照单价据实结算；制作总数少于约定数量，按照单价扣减相应制作费用。</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（1）带芯片证件：数量2000张，正面UV打印，背面彩色印刷，PVC材质卡片，内置ISO15693芯片，尺寸为124×86mm，厚度为1．0mm。</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（2）不带芯片证件：数量33000张，彩色印刷，PVC材质卡片，无芯片，尺寸为124×86mm，厚度为1．0mm。</w:t>
      </w:r>
    </w:p>
    <w:p>
      <w:pPr>
        <w:pStyle w:val="13"/>
        <w:widowControl/>
        <w:spacing w:beforeAutospacing="0" w:afterAutospacing="0"/>
        <w:ind w:firstLine="640" w:firstLineChars="200"/>
        <w:jc w:val="both"/>
        <w:rPr>
          <w:rFonts w:ascii="Times New Roman" w:hAnsi="Times New Roman" w:eastAsia="方正仿宋_GBK"/>
          <w:color w:val="333333"/>
          <w:sz w:val="32"/>
          <w:szCs w:val="32"/>
          <w:highlight w:val="yellow"/>
          <w:shd w:val="clear" w:color="auto" w:fill="FFFFFF"/>
        </w:rPr>
      </w:pPr>
      <w:r>
        <w:rPr>
          <w:rFonts w:ascii="Times New Roman" w:hAnsi="Times New Roman" w:eastAsia="方正仿宋_GBK"/>
          <w:color w:val="333333"/>
          <w:sz w:val="32"/>
          <w:szCs w:val="32"/>
          <w:shd w:val="clear" w:color="auto" w:fill="FFFFFF"/>
        </w:rPr>
        <w:t>2．车辆证件制作：数量2000张，彩色印刷，300克铜版纸，尺寸为260mm*180mm。此价格为包干价，制作总数超过约定数量不再收取超出的制作费用，制作总数少于约定数量，按照单价扣减相应制作费用。</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3．证件相关配套挂绳：数量35000根，彩色，可印专场标识，尺寸为15mm。根据人员证件数量一比一配置。</w:t>
      </w:r>
    </w:p>
    <w:p>
      <w:pPr>
        <w:pStyle w:val="13"/>
        <w:widowControl/>
        <w:spacing w:beforeAutospacing="0" w:afterAutospacing="0"/>
        <w:ind w:firstLine="640" w:firstLineChars="200"/>
        <w:jc w:val="both"/>
        <w:rPr>
          <w:rFonts w:ascii="Times New Roman" w:hAnsi="Times New Roman" w:eastAsia="方正楷体_GBK"/>
          <w:color w:val="333333"/>
          <w:sz w:val="32"/>
          <w:szCs w:val="32"/>
          <w:shd w:val="clear" w:color="auto" w:fill="FFFFFF"/>
        </w:rPr>
      </w:pPr>
      <w:r>
        <w:rPr>
          <w:rFonts w:ascii="Times New Roman" w:hAnsi="Times New Roman" w:eastAsia="方正楷体_GBK"/>
          <w:color w:val="333333"/>
          <w:sz w:val="32"/>
          <w:szCs w:val="32"/>
          <w:shd w:val="clear" w:color="auto" w:fill="FFFFFF"/>
        </w:rPr>
        <w:t>（三）制证设备租赁及服务</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1．专用人员UV平板证件打印机租赁：彩色喷墨UV固化；墨水：专用UV墨水盒；颜色：YMCK4色；打印尺寸：最大A3幅面，支持常用证件尺寸规格；打印分辨率不低于2880X1440 dpi，数量2台</w:t>
      </w:r>
      <w:r>
        <w:rPr>
          <w:rFonts w:hint="eastAsia" w:ascii="Times New Roman" w:hAnsi="Times New Roman" w:eastAsia="方正仿宋_GBK"/>
          <w:color w:val="333333"/>
          <w:sz w:val="32"/>
          <w:szCs w:val="32"/>
          <w:shd w:val="clear" w:color="auto" w:fill="FFFFFF"/>
        </w:rPr>
        <w:t>。</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2．专用人员彩色印刷证件制作设备租赁：彩色喷墨打印，打印尺寸：最大A4幅面，使用层压和冲切的制作方式完成证件制作，数量1套</w:t>
      </w:r>
      <w:r>
        <w:rPr>
          <w:rFonts w:hint="eastAsia" w:ascii="Times New Roman" w:hAnsi="Times New Roman" w:eastAsia="方正仿宋_GBK"/>
          <w:color w:val="333333"/>
          <w:sz w:val="32"/>
          <w:szCs w:val="32"/>
          <w:shd w:val="clear" w:color="auto" w:fill="FFFFFF"/>
        </w:rPr>
        <w:t>。</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3．人工服务：制作所有的证件及保障所有租赁设备的正常运行。</w:t>
      </w:r>
    </w:p>
    <w:p>
      <w:pPr>
        <w:pStyle w:val="13"/>
        <w:widowControl/>
        <w:spacing w:beforeAutospacing="0" w:afterAutospacing="0"/>
        <w:ind w:firstLine="640" w:firstLineChars="200"/>
        <w:jc w:val="both"/>
        <w:rPr>
          <w:rFonts w:ascii="Times New Roman" w:hAnsi="Times New Roman" w:eastAsia="方正楷体_GBK"/>
          <w:color w:val="333333"/>
          <w:sz w:val="32"/>
          <w:szCs w:val="32"/>
          <w:shd w:val="clear" w:color="auto" w:fill="FFFFFF"/>
        </w:rPr>
      </w:pPr>
      <w:r>
        <w:rPr>
          <w:rFonts w:ascii="Times New Roman" w:hAnsi="Times New Roman" w:eastAsia="方正楷体_GBK"/>
          <w:color w:val="333333"/>
          <w:sz w:val="32"/>
          <w:szCs w:val="32"/>
          <w:shd w:val="clear" w:color="auto" w:fill="FFFFFF"/>
        </w:rPr>
        <w:t>（四）证件发放</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1．按要求发放展览区证件，检查和收取领证资料，查验领证人员身份</w:t>
      </w:r>
      <w:r>
        <w:rPr>
          <w:rFonts w:hint="eastAsia" w:ascii="Times New Roman" w:hAnsi="Times New Roman" w:eastAsia="方正仿宋_GBK"/>
          <w:color w:val="333333"/>
          <w:sz w:val="32"/>
          <w:szCs w:val="32"/>
          <w:shd w:val="clear" w:color="auto" w:fill="FFFFFF"/>
        </w:rPr>
        <w:t>。</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2．按要求发放重要活动证件，检查和收取领证资料，查验领证人员身份</w:t>
      </w:r>
      <w:r>
        <w:rPr>
          <w:rFonts w:hint="eastAsia" w:ascii="Times New Roman" w:hAnsi="Times New Roman" w:eastAsia="方正仿宋_GBK"/>
          <w:color w:val="333333"/>
          <w:sz w:val="32"/>
          <w:szCs w:val="32"/>
          <w:shd w:val="clear" w:color="auto" w:fill="FFFFFF"/>
        </w:rPr>
        <w:t>。</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3．证件发放期间每日提供发放汇总数据，证件发放完成后提供汇总数据。</w:t>
      </w:r>
    </w:p>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五、供应商资格条件</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供应商是指向采购人提供服务或者货物的法人、其他组织或者自然人。按照政府采购法第二十二条规定，供应商应当具备下列条件：</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（一）具有独立承担民事责任的能力</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（二）具有良好的商业信誉和健全的财务会计制度</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（三）具有履行合同所必需的设备和专业技术能力</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（四）有依法缴纳税收的良好记录</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（五）参加政府采购活动前三年内，在经营活动中没有重大违法记录</w:t>
      </w:r>
    </w:p>
    <w:p>
      <w:pPr>
        <w:pStyle w:val="13"/>
        <w:widowControl/>
        <w:spacing w:beforeAutospacing="0" w:afterAutospacing="0"/>
        <w:ind w:firstLine="640" w:firstLineChars="200"/>
        <w:jc w:val="both"/>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（六）法律、行政法规规定的其他条件</w:t>
      </w:r>
    </w:p>
    <w:p>
      <w:pPr>
        <w:pStyle w:val="13"/>
        <w:widowControl/>
        <w:spacing w:beforeAutospacing="0" w:afterAutospacing="0"/>
        <w:ind w:firstLine="640" w:firstLineChars="200"/>
        <w:jc w:val="both"/>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六、评审标准</w:t>
      </w:r>
    </w:p>
    <w:tbl>
      <w:tblPr>
        <w:tblStyle w:val="14"/>
        <w:tblW w:w="85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531"/>
        <w:gridCol w:w="1228"/>
        <w:gridCol w:w="900"/>
        <w:gridCol w:w="4380"/>
        <w:gridCol w:w="15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531"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黑体_GBK" w:eastAsia="方正黑体_GBK"/>
                <w:sz w:val="28"/>
                <w:szCs w:val="28"/>
              </w:rPr>
            </w:pPr>
            <w:r>
              <w:rPr>
                <w:rFonts w:hint="eastAsia" w:ascii="方正黑体_GBK" w:eastAsia="方正黑体_GBK"/>
                <w:color w:val="333333"/>
                <w:sz w:val="28"/>
                <w:szCs w:val="28"/>
              </w:rPr>
              <w:t>序号</w:t>
            </w:r>
          </w:p>
        </w:tc>
        <w:tc>
          <w:tcPr>
            <w:tcW w:w="1228"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黑体_GBK" w:eastAsia="方正黑体_GBK"/>
                <w:sz w:val="28"/>
                <w:szCs w:val="28"/>
              </w:rPr>
            </w:pPr>
            <w:r>
              <w:rPr>
                <w:rFonts w:hint="eastAsia" w:ascii="方正黑体_GBK" w:eastAsia="方正黑体_GBK"/>
                <w:color w:val="333333"/>
                <w:sz w:val="28"/>
                <w:szCs w:val="28"/>
              </w:rPr>
              <w:t>评分因素</w:t>
            </w:r>
          </w:p>
          <w:p>
            <w:pPr>
              <w:pStyle w:val="13"/>
              <w:widowControl/>
              <w:snapToGrid w:val="0"/>
              <w:spacing w:beforeAutospacing="0" w:afterAutospacing="0"/>
              <w:jc w:val="center"/>
              <w:rPr>
                <w:rFonts w:ascii="方正黑体_GBK" w:eastAsia="方正黑体_GBK"/>
                <w:sz w:val="28"/>
                <w:szCs w:val="28"/>
              </w:rPr>
            </w:pPr>
            <w:r>
              <w:rPr>
                <w:rFonts w:hint="eastAsia" w:ascii="方正黑体_GBK" w:eastAsia="方正黑体_GBK"/>
                <w:color w:val="333333"/>
                <w:sz w:val="28"/>
                <w:szCs w:val="28"/>
              </w:rPr>
              <w:t>权重</w:t>
            </w:r>
          </w:p>
        </w:tc>
        <w:tc>
          <w:tcPr>
            <w:tcW w:w="900"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黑体_GBK" w:eastAsia="方正黑体_GBK"/>
                <w:sz w:val="28"/>
                <w:szCs w:val="28"/>
              </w:rPr>
            </w:pPr>
            <w:r>
              <w:rPr>
                <w:rFonts w:hint="eastAsia" w:ascii="方正黑体_GBK" w:eastAsia="方正黑体_GBK"/>
                <w:color w:val="333333"/>
                <w:sz w:val="28"/>
                <w:szCs w:val="28"/>
              </w:rPr>
              <w:t>分值</w:t>
            </w:r>
          </w:p>
        </w:tc>
        <w:tc>
          <w:tcPr>
            <w:tcW w:w="4380"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黑体_GBK" w:eastAsia="方正黑体_GBK"/>
                <w:sz w:val="28"/>
                <w:szCs w:val="28"/>
              </w:rPr>
            </w:pPr>
            <w:r>
              <w:rPr>
                <w:rFonts w:hint="eastAsia" w:ascii="方正黑体_GBK" w:eastAsia="方正黑体_GBK"/>
                <w:color w:val="333333"/>
                <w:sz w:val="28"/>
                <w:szCs w:val="28"/>
              </w:rPr>
              <w:t>评分标准</w:t>
            </w:r>
          </w:p>
        </w:tc>
        <w:tc>
          <w:tcPr>
            <w:tcW w:w="1511"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黑体_GBK" w:eastAsia="方正黑体_GBK"/>
                <w:sz w:val="28"/>
                <w:szCs w:val="28"/>
              </w:rPr>
            </w:pPr>
            <w:r>
              <w:rPr>
                <w:rFonts w:hint="eastAsia" w:ascii="方正黑体_GBK" w:eastAsia="方正黑体_GBK"/>
                <w:color w:val="333333"/>
                <w:sz w:val="28"/>
                <w:szCs w:val="28"/>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531"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sz w:val="28"/>
                <w:szCs w:val="28"/>
              </w:rPr>
            </w:pPr>
            <w:r>
              <w:rPr>
                <w:rFonts w:hint="eastAsia" w:ascii="方正仿宋_GBK" w:eastAsia="方正仿宋_GBK"/>
                <w:color w:val="333333"/>
                <w:sz w:val="28"/>
                <w:szCs w:val="28"/>
              </w:rPr>
              <w:t>1</w:t>
            </w:r>
          </w:p>
        </w:tc>
        <w:tc>
          <w:tcPr>
            <w:tcW w:w="1228"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sz w:val="28"/>
                <w:szCs w:val="28"/>
              </w:rPr>
            </w:pPr>
            <w:r>
              <w:rPr>
                <w:rFonts w:hint="eastAsia" w:ascii="方正仿宋_GBK" w:eastAsia="方正仿宋_GBK"/>
                <w:color w:val="333333"/>
                <w:sz w:val="28"/>
                <w:szCs w:val="28"/>
              </w:rPr>
              <w:t>投标报价</w:t>
            </w:r>
          </w:p>
          <w:p>
            <w:pPr>
              <w:pStyle w:val="13"/>
              <w:widowControl/>
              <w:snapToGrid w:val="0"/>
              <w:spacing w:beforeAutospacing="0" w:afterAutospacing="0"/>
              <w:jc w:val="center"/>
              <w:rPr>
                <w:rFonts w:ascii="方正仿宋_GBK" w:eastAsia="方正仿宋_GBK"/>
                <w:sz w:val="28"/>
                <w:szCs w:val="28"/>
              </w:rPr>
            </w:pPr>
            <w:r>
              <w:rPr>
                <w:rFonts w:hint="eastAsia" w:ascii="方正仿宋_GBK" w:eastAsia="方正仿宋_GBK"/>
                <w:color w:val="333333"/>
                <w:sz w:val="28"/>
                <w:szCs w:val="28"/>
              </w:rPr>
              <w:t>（20%）</w:t>
            </w:r>
          </w:p>
        </w:tc>
        <w:tc>
          <w:tcPr>
            <w:tcW w:w="900"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sz w:val="28"/>
                <w:szCs w:val="28"/>
              </w:rPr>
            </w:pPr>
            <w:r>
              <w:rPr>
                <w:rFonts w:hint="eastAsia" w:ascii="方正仿宋_GBK" w:eastAsia="方正仿宋_GBK"/>
                <w:sz w:val="28"/>
                <w:szCs w:val="28"/>
              </w:rPr>
              <w:t>20</w:t>
            </w:r>
          </w:p>
        </w:tc>
        <w:tc>
          <w:tcPr>
            <w:tcW w:w="4380" w:type="dxa"/>
            <w:shd w:val="clear" w:color="auto" w:fill="auto"/>
            <w:tcMar>
              <w:top w:w="0" w:type="dxa"/>
              <w:left w:w="0" w:type="dxa"/>
              <w:bottom w:w="0" w:type="dxa"/>
              <w:right w:w="0" w:type="dxa"/>
            </w:tcMar>
            <w:vAlign w:val="center"/>
          </w:tcPr>
          <w:p>
            <w:pPr>
              <w:pStyle w:val="13"/>
              <w:widowControl/>
              <w:snapToGrid w:val="0"/>
              <w:spacing w:beforeAutospacing="0" w:afterAutospacing="0"/>
              <w:jc w:val="both"/>
              <w:rPr>
                <w:rFonts w:ascii="方正仿宋_GBK" w:eastAsia="方正仿宋_GBK"/>
                <w:sz w:val="28"/>
                <w:szCs w:val="28"/>
              </w:rPr>
            </w:pPr>
            <w:r>
              <w:rPr>
                <w:rFonts w:hint="eastAsia" w:ascii="方正仿宋_GBK" w:eastAsia="方正仿宋_GBK"/>
                <w:color w:val="333333"/>
                <w:sz w:val="28"/>
                <w:szCs w:val="28"/>
              </w:rPr>
              <w:t>有效的投标报价中的最低价为评标基准价，其价格分为满分。其他投标人的价格分统一按照下列公式计算：</w:t>
            </w:r>
          </w:p>
          <w:p>
            <w:pPr>
              <w:pStyle w:val="13"/>
              <w:widowControl/>
              <w:snapToGrid w:val="0"/>
              <w:spacing w:beforeAutospacing="0" w:afterAutospacing="0"/>
              <w:jc w:val="both"/>
              <w:rPr>
                <w:rFonts w:ascii="方正仿宋_GBK" w:eastAsia="方正仿宋_GBK"/>
                <w:sz w:val="28"/>
                <w:szCs w:val="28"/>
              </w:rPr>
            </w:pPr>
            <w:r>
              <w:rPr>
                <w:rFonts w:hint="eastAsia" w:ascii="方正仿宋_GBK" w:eastAsia="方正仿宋_GBK"/>
                <w:color w:val="333333"/>
                <w:sz w:val="28"/>
                <w:szCs w:val="28"/>
              </w:rPr>
              <w:t>投标报价得分=（评标基准率/所投费率）×价格权重×100。</w:t>
            </w:r>
          </w:p>
        </w:tc>
        <w:tc>
          <w:tcPr>
            <w:tcW w:w="1511" w:type="dxa"/>
            <w:shd w:val="clear" w:color="auto" w:fill="auto"/>
            <w:tcMar>
              <w:top w:w="0" w:type="dxa"/>
              <w:left w:w="0" w:type="dxa"/>
              <w:bottom w:w="0" w:type="dxa"/>
              <w:right w:w="0" w:type="dxa"/>
            </w:tcMar>
            <w:vAlign w:val="center"/>
          </w:tcPr>
          <w:p>
            <w:pPr>
              <w:pStyle w:val="13"/>
              <w:widowControl/>
              <w:snapToGrid w:val="0"/>
              <w:spacing w:beforeAutospacing="0" w:afterAutospacing="0"/>
              <w:jc w:val="both"/>
              <w:rPr>
                <w:rFonts w:ascii="方正仿宋_GBK" w:eastAsia="方正仿宋_GBK"/>
                <w:sz w:val="28"/>
                <w:szCs w:val="28"/>
              </w:rPr>
            </w:pPr>
            <w:r>
              <w:rPr>
                <w:rFonts w:hint="eastAsia" w:ascii="方正仿宋_GBK" w:eastAsia="方正仿宋_GBK"/>
                <w:color w:val="333333"/>
                <w:sz w:val="28"/>
                <w:szCs w:val="28"/>
              </w:rPr>
              <w:t>对小型和微型企业产品的价格给予6%-10%的扣除，用扣除后的价格参与评审。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531"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sz w:val="28"/>
                <w:szCs w:val="28"/>
              </w:rPr>
            </w:pPr>
            <w:r>
              <w:rPr>
                <w:rFonts w:hint="eastAsia" w:ascii="方正仿宋_GBK" w:eastAsia="方正仿宋_GBK"/>
                <w:color w:val="333333"/>
                <w:sz w:val="28"/>
                <w:szCs w:val="28"/>
              </w:rPr>
              <w:t>2</w:t>
            </w:r>
          </w:p>
        </w:tc>
        <w:tc>
          <w:tcPr>
            <w:tcW w:w="1228"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sz w:val="28"/>
                <w:szCs w:val="28"/>
              </w:rPr>
            </w:pPr>
            <w:r>
              <w:rPr>
                <w:rFonts w:hint="eastAsia" w:ascii="方正仿宋_GBK" w:eastAsia="方正仿宋_GBK"/>
                <w:color w:val="333333"/>
                <w:sz w:val="28"/>
                <w:szCs w:val="28"/>
              </w:rPr>
              <w:t>服务部分（50%）</w:t>
            </w:r>
          </w:p>
        </w:tc>
        <w:tc>
          <w:tcPr>
            <w:tcW w:w="900"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sz w:val="28"/>
                <w:szCs w:val="28"/>
              </w:rPr>
            </w:pPr>
            <w:r>
              <w:rPr>
                <w:rFonts w:hint="eastAsia" w:ascii="方正仿宋_GBK" w:eastAsia="方正仿宋_GBK"/>
                <w:color w:val="333333"/>
                <w:sz w:val="28"/>
                <w:szCs w:val="28"/>
              </w:rPr>
              <w:t>50</w:t>
            </w:r>
          </w:p>
        </w:tc>
        <w:tc>
          <w:tcPr>
            <w:tcW w:w="4380" w:type="dxa"/>
            <w:shd w:val="clear" w:color="auto" w:fill="auto"/>
            <w:tcMar>
              <w:top w:w="0" w:type="dxa"/>
              <w:left w:w="0" w:type="dxa"/>
              <w:bottom w:w="0" w:type="dxa"/>
              <w:right w:w="0" w:type="dxa"/>
            </w:tcMar>
            <w:vAlign w:val="center"/>
          </w:tcPr>
          <w:p>
            <w:pPr>
              <w:pStyle w:val="13"/>
              <w:widowControl/>
              <w:snapToGrid w:val="0"/>
              <w:spacing w:beforeAutospacing="0" w:afterAutospacing="0"/>
              <w:jc w:val="both"/>
              <w:rPr>
                <w:rFonts w:ascii="方正仿宋_GBK" w:eastAsia="方正仿宋_GBK"/>
                <w:color w:val="333333"/>
                <w:sz w:val="28"/>
                <w:szCs w:val="28"/>
              </w:rPr>
            </w:pPr>
            <w:r>
              <w:rPr>
                <w:rFonts w:hint="eastAsia" w:ascii="方正仿宋_GBK" w:eastAsia="方正仿宋_GBK"/>
                <w:color w:val="333333"/>
                <w:sz w:val="28"/>
                <w:szCs w:val="28"/>
              </w:rPr>
              <w:t>1．实施方案（35）</w:t>
            </w:r>
          </w:p>
          <w:p>
            <w:pPr>
              <w:snapToGrid w:val="0"/>
              <w:rPr>
                <w:rFonts w:ascii="方正仿宋_GBK" w:eastAsia="方正仿宋_GBK" w:cs="Times New Roman"/>
                <w:sz w:val="28"/>
                <w:szCs w:val="28"/>
              </w:rPr>
            </w:pPr>
            <w:r>
              <w:rPr>
                <w:rFonts w:hint="eastAsia" w:ascii="方正仿宋_GBK" w:eastAsia="方正仿宋_GBK" w:cs="Times New Roman"/>
                <w:color w:val="333333"/>
                <w:kern w:val="0"/>
                <w:sz w:val="28"/>
                <w:szCs w:val="28"/>
              </w:rPr>
              <w:t>结合本项目主要内容及要求，提供实施方案。对供应商提供的2023西洽会证件制作服务项目实施方案的可行性、科学性、合理性，实施要点和管理要点的准确性和完善性，保证措施的合理性、可行性等方面进行打分。</w:t>
            </w:r>
          </w:p>
          <w:p>
            <w:pPr>
              <w:pStyle w:val="13"/>
              <w:widowControl/>
              <w:snapToGrid w:val="0"/>
              <w:spacing w:beforeAutospacing="0" w:afterAutospacing="0"/>
              <w:jc w:val="both"/>
              <w:rPr>
                <w:rFonts w:ascii="方正仿宋_GBK" w:eastAsia="方正仿宋_GBK"/>
                <w:color w:val="333333"/>
                <w:sz w:val="28"/>
                <w:szCs w:val="28"/>
              </w:rPr>
            </w:pPr>
            <w:r>
              <w:rPr>
                <w:rFonts w:hint="eastAsia" w:ascii="方正仿宋_GBK" w:eastAsia="方正仿宋_GBK"/>
                <w:color w:val="333333"/>
                <w:sz w:val="28"/>
                <w:szCs w:val="28"/>
              </w:rPr>
              <w:t>优得35分，良得25分，一般得15分，差得5分，未提供得0分。</w:t>
            </w:r>
          </w:p>
          <w:p>
            <w:pPr>
              <w:pStyle w:val="13"/>
              <w:widowControl/>
              <w:snapToGrid w:val="0"/>
              <w:spacing w:beforeAutospacing="0" w:afterAutospacing="0"/>
              <w:jc w:val="both"/>
              <w:rPr>
                <w:rFonts w:ascii="方正仿宋_GBK" w:eastAsia="方正仿宋_GBK"/>
                <w:color w:val="333333"/>
                <w:sz w:val="28"/>
                <w:szCs w:val="28"/>
              </w:rPr>
            </w:pPr>
            <w:r>
              <w:rPr>
                <w:rFonts w:hint="eastAsia" w:ascii="方正仿宋_GBK" w:eastAsia="方正仿宋_GBK"/>
                <w:color w:val="333333"/>
                <w:sz w:val="28"/>
                <w:szCs w:val="28"/>
              </w:rPr>
              <w:t>2．项目进度安排情况（15）</w:t>
            </w:r>
          </w:p>
          <w:p>
            <w:pPr>
              <w:snapToGrid w:val="0"/>
              <w:rPr>
                <w:rFonts w:ascii="方正仿宋_GBK" w:eastAsia="方正仿宋_GBK" w:cs="Times New Roman"/>
                <w:color w:val="333333"/>
                <w:kern w:val="0"/>
                <w:sz w:val="28"/>
                <w:szCs w:val="28"/>
              </w:rPr>
            </w:pPr>
            <w:r>
              <w:rPr>
                <w:rFonts w:hint="eastAsia" w:ascii="方正仿宋_GBK" w:eastAsia="方正仿宋_GBK" w:cs="Times New Roman"/>
                <w:color w:val="333333"/>
                <w:kern w:val="0"/>
                <w:sz w:val="28"/>
                <w:szCs w:val="28"/>
              </w:rPr>
              <w:t>结合本项目主要内容及要求，提供</w:t>
            </w:r>
            <w:r>
              <w:rPr>
                <w:rFonts w:hint="eastAsia" w:ascii="方正仿宋_GBK" w:eastAsia="方正仿宋_GBK" w:cs="Times New Roman"/>
                <w:color w:val="333333"/>
                <w:sz w:val="28"/>
                <w:szCs w:val="28"/>
              </w:rPr>
              <w:t>详细的进度计划，时间安排合理，能按规定时间完成相关工作。</w:t>
            </w:r>
          </w:p>
          <w:p>
            <w:pPr>
              <w:pStyle w:val="13"/>
              <w:widowControl/>
              <w:snapToGrid w:val="0"/>
              <w:spacing w:beforeAutospacing="0" w:afterAutospacing="0"/>
              <w:jc w:val="both"/>
              <w:rPr>
                <w:rFonts w:ascii="方正仿宋_GBK" w:eastAsia="方正仿宋_GBK"/>
                <w:color w:val="333333"/>
                <w:sz w:val="28"/>
                <w:szCs w:val="28"/>
              </w:rPr>
            </w:pPr>
            <w:r>
              <w:rPr>
                <w:rFonts w:hint="eastAsia" w:ascii="方正仿宋_GBK" w:eastAsia="方正仿宋_GBK"/>
                <w:color w:val="333333"/>
                <w:sz w:val="28"/>
                <w:szCs w:val="28"/>
              </w:rPr>
              <w:t>优得15分，良得10分，一般得6分，差得2分，未提供得0分。</w:t>
            </w:r>
          </w:p>
        </w:tc>
        <w:tc>
          <w:tcPr>
            <w:tcW w:w="1511" w:type="dxa"/>
            <w:shd w:val="clear" w:color="auto" w:fill="auto"/>
            <w:tcMar>
              <w:top w:w="0" w:type="dxa"/>
              <w:left w:w="0" w:type="dxa"/>
              <w:bottom w:w="0" w:type="dxa"/>
              <w:right w:w="0" w:type="dxa"/>
            </w:tcMar>
            <w:vAlign w:val="center"/>
          </w:tcPr>
          <w:p>
            <w:pPr>
              <w:pStyle w:val="13"/>
              <w:widowControl/>
              <w:snapToGrid w:val="0"/>
              <w:spacing w:beforeAutospacing="0" w:afterAutospacing="0"/>
              <w:jc w:val="both"/>
              <w:rPr>
                <w:rFonts w:ascii="方正仿宋_GBK" w:eastAsia="方正仿宋_GBK"/>
                <w:sz w:val="28"/>
                <w:szCs w:val="28"/>
              </w:rPr>
            </w:pPr>
            <w:r>
              <w:rPr>
                <w:rFonts w:hint="eastAsia" w:ascii="方正仿宋_GBK" w:eastAsia="方正仿宋_GBK"/>
                <w:color w:val="333333"/>
                <w:sz w:val="28"/>
                <w:szCs w:val="28"/>
              </w:rPr>
              <w:t>投标人提供相关方案或内容（格式自定）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531"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color w:val="333333"/>
                <w:sz w:val="28"/>
                <w:szCs w:val="28"/>
              </w:rPr>
            </w:pPr>
            <w:r>
              <w:rPr>
                <w:rFonts w:hint="eastAsia" w:ascii="方正仿宋_GBK" w:eastAsia="方正仿宋_GBK"/>
                <w:color w:val="333333"/>
                <w:sz w:val="28"/>
                <w:szCs w:val="28"/>
              </w:rPr>
              <w:t>3</w:t>
            </w:r>
          </w:p>
        </w:tc>
        <w:tc>
          <w:tcPr>
            <w:tcW w:w="1228"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color w:val="333333"/>
                <w:sz w:val="28"/>
                <w:szCs w:val="28"/>
              </w:rPr>
            </w:pPr>
            <w:r>
              <w:rPr>
                <w:rFonts w:hint="eastAsia" w:ascii="方正仿宋_GBK" w:eastAsia="方正仿宋_GBK"/>
                <w:color w:val="333333"/>
                <w:sz w:val="28"/>
                <w:szCs w:val="28"/>
              </w:rPr>
              <w:t>商务部分（30%）</w:t>
            </w:r>
          </w:p>
        </w:tc>
        <w:tc>
          <w:tcPr>
            <w:tcW w:w="900" w:type="dxa"/>
            <w:shd w:val="clear" w:color="auto" w:fill="auto"/>
            <w:tcMar>
              <w:top w:w="0" w:type="dxa"/>
              <w:left w:w="0" w:type="dxa"/>
              <w:bottom w:w="0" w:type="dxa"/>
              <w:right w:w="0" w:type="dxa"/>
            </w:tcMar>
            <w:vAlign w:val="center"/>
          </w:tcPr>
          <w:p>
            <w:pPr>
              <w:pStyle w:val="13"/>
              <w:widowControl/>
              <w:snapToGrid w:val="0"/>
              <w:spacing w:beforeAutospacing="0" w:afterAutospacing="0"/>
              <w:jc w:val="center"/>
              <w:rPr>
                <w:rFonts w:ascii="方正仿宋_GBK" w:eastAsia="方正仿宋_GBK"/>
                <w:color w:val="333333"/>
                <w:sz w:val="28"/>
                <w:szCs w:val="28"/>
              </w:rPr>
            </w:pPr>
            <w:r>
              <w:rPr>
                <w:rFonts w:hint="eastAsia" w:ascii="方正仿宋_GBK" w:eastAsia="方正仿宋_GBK"/>
                <w:color w:val="333333"/>
                <w:sz w:val="28"/>
                <w:szCs w:val="28"/>
              </w:rPr>
              <w:t>30</w:t>
            </w:r>
          </w:p>
        </w:tc>
        <w:tc>
          <w:tcPr>
            <w:tcW w:w="4380" w:type="dxa"/>
            <w:shd w:val="clear" w:color="auto" w:fill="auto"/>
            <w:tcMar>
              <w:top w:w="0" w:type="dxa"/>
              <w:left w:w="0" w:type="dxa"/>
              <w:bottom w:w="0" w:type="dxa"/>
              <w:right w:w="0" w:type="dxa"/>
            </w:tcMar>
            <w:vAlign w:val="center"/>
          </w:tcPr>
          <w:p>
            <w:pPr>
              <w:pStyle w:val="13"/>
              <w:widowControl/>
              <w:snapToGrid w:val="0"/>
              <w:spacing w:beforeAutospacing="0" w:afterAutospacing="0"/>
              <w:jc w:val="both"/>
              <w:rPr>
                <w:rFonts w:ascii="方正仿宋_GBK" w:eastAsia="方正仿宋_GBK"/>
                <w:color w:val="333333"/>
                <w:sz w:val="28"/>
                <w:szCs w:val="28"/>
              </w:rPr>
            </w:pPr>
            <w:r>
              <w:rPr>
                <w:rFonts w:hint="eastAsia" w:ascii="方正仿宋_GBK" w:eastAsia="方正仿宋_GBK"/>
                <w:color w:val="333333"/>
                <w:sz w:val="28"/>
                <w:szCs w:val="28"/>
              </w:rPr>
              <w:t>1．展会服务能力或技术性能力（10）</w:t>
            </w:r>
          </w:p>
          <w:p>
            <w:pPr>
              <w:snapToGrid w:val="0"/>
              <w:rPr>
                <w:rFonts w:ascii="方正仿宋_GBK" w:eastAsia="方正仿宋_GBK" w:cs="Times New Roman"/>
                <w:color w:val="333333"/>
                <w:kern w:val="0"/>
                <w:sz w:val="28"/>
                <w:szCs w:val="28"/>
              </w:rPr>
            </w:pPr>
            <w:r>
              <w:rPr>
                <w:rFonts w:hint="eastAsia" w:ascii="方正仿宋_GBK" w:eastAsia="方正仿宋_GBK" w:cs="Times New Roman"/>
                <w:color w:val="333333"/>
                <w:kern w:val="0"/>
                <w:sz w:val="28"/>
                <w:szCs w:val="28"/>
              </w:rPr>
              <w:t>供应商法人证书或营业执照经营范围中含有负责展会服务性或技术性工作的得10分，未提供得0分。</w:t>
            </w:r>
          </w:p>
          <w:p>
            <w:pPr>
              <w:pStyle w:val="13"/>
              <w:widowControl/>
              <w:snapToGrid w:val="0"/>
              <w:spacing w:beforeAutospacing="0" w:afterAutospacing="0"/>
              <w:jc w:val="both"/>
              <w:rPr>
                <w:rFonts w:ascii="方正仿宋_GBK" w:eastAsia="方正仿宋_GBK"/>
                <w:color w:val="333333"/>
                <w:sz w:val="28"/>
                <w:szCs w:val="28"/>
              </w:rPr>
            </w:pPr>
            <w:r>
              <w:rPr>
                <w:rFonts w:hint="eastAsia" w:ascii="方正仿宋_GBK" w:eastAsia="方正仿宋_GBK"/>
                <w:color w:val="333333"/>
                <w:sz w:val="28"/>
                <w:szCs w:val="28"/>
              </w:rPr>
              <w:t>2．业绩（20）</w:t>
            </w:r>
          </w:p>
          <w:p>
            <w:pPr>
              <w:pStyle w:val="13"/>
              <w:widowControl/>
              <w:snapToGrid w:val="0"/>
              <w:spacing w:beforeAutospacing="0" w:afterAutospacing="0"/>
              <w:jc w:val="both"/>
              <w:rPr>
                <w:rFonts w:ascii="方正仿宋_GBK" w:eastAsia="方正仿宋_GBK"/>
                <w:color w:val="333333"/>
                <w:sz w:val="28"/>
                <w:szCs w:val="28"/>
                <w:highlight w:val="yellow"/>
              </w:rPr>
            </w:pPr>
            <w:r>
              <w:rPr>
                <w:rFonts w:hint="eastAsia" w:ascii="方正仿宋_GBK" w:eastAsia="方正仿宋_GBK"/>
                <w:color w:val="333333"/>
                <w:sz w:val="28"/>
                <w:szCs w:val="28"/>
              </w:rPr>
              <w:t>提供2021年1月1日以来承担过省级及以上党政机关主办的展会或政府活动的证件制作项目，每提供1份合同或其他有效证明文件的得10分，最多20分。</w:t>
            </w:r>
          </w:p>
        </w:tc>
        <w:tc>
          <w:tcPr>
            <w:tcW w:w="1511" w:type="dxa"/>
            <w:shd w:val="clear" w:color="auto" w:fill="auto"/>
            <w:tcMar>
              <w:top w:w="0" w:type="dxa"/>
              <w:left w:w="0" w:type="dxa"/>
              <w:bottom w:w="0" w:type="dxa"/>
              <w:right w:w="0" w:type="dxa"/>
            </w:tcMar>
            <w:vAlign w:val="center"/>
          </w:tcPr>
          <w:p>
            <w:pPr>
              <w:pStyle w:val="13"/>
              <w:widowControl/>
              <w:snapToGrid w:val="0"/>
              <w:spacing w:beforeAutospacing="0" w:afterAutospacing="0"/>
              <w:jc w:val="both"/>
              <w:rPr>
                <w:rFonts w:ascii="方正仿宋_GBK" w:eastAsia="方正仿宋_GBK"/>
                <w:color w:val="333333"/>
                <w:sz w:val="28"/>
                <w:szCs w:val="28"/>
              </w:rPr>
            </w:pPr>
            <w:r>
              <w:rPr>
                <w:rFonts w:hint="eastAsia" w:ascii="方正仿宋_GBK" w:eastAsia="方正仿宋_GBK"/>
                <w:color w:val="333333"/>
                <w:sz w:val="28"/>
                <w:szCs w:val="28"/>
              </w:rPr>
              <w:t>投标人提供相关资料（格式自定）</w:t>
            </w:r>
          </w:p>
        </w:tc>
      </w:tr>
    </w:tbl>
    <w:p>
      <w:pPr>
        <w:pStyle w:val="13"/>
        <w:widowControl/>
        <w:spacing w:beforeAutospacing="0" w:afterAutospacing="0" w:line="580" w:lineRule="exact"/>
        <w:ind w:firstLine="420"/>
        <w:rPr>
          <w:rStyle w:val="16"/>
          <w:rFonts w:ascii="Times New Roman" w:hAnsi="Times New Roman" w:eastAsia="方正黑体_GBK"/>
          <w:b w:val="0"/>
          <w:bCs/>
          <w:color w:val="333333"/>
          <w:sz w:val="32"/>
          <w:szCs w:val="32"/>
          <w:shd w:val="clear" w:color="auto" w:fill="FFFFFF"/>
        </w:rPr>
      </w:pPr>
      <w:r>
        <w:rPr>
          <w:rStyle w:val="16"/>
          <w:rFonts w:ascii="Times New Roman" w:hAnsi="Times New Roman" w:eastAsia="方正黑体_GBK"/>
          <w:b w:val="0"/>
          <w:bCs/>
          <w:color w:val="333333"/>
          <w:sz w:val="32"/>
          <w:szCs w:val="32"/>
          <w:shd w:val="clear" w:color="auto" w:fill="FFFFFF"/>
        </w:rPr>
        <w:t>七、报名时间</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2023年</w:t>
      </w:r>
      <w:r>
        <w:rPr>
          <w:rFonts w:hint="eastAsia" w:ascii="Times New Roman" w:hAnsi="Times New Roman" w:eastAsia="方正仿宋_GBK"/>
          <w:color w:val="333333"/>
          <w:sz w:val="32"/>
          <w:szCs w:val="32"/>
          <w:shd w:val="clear" w:color="auto" w:fill="FFFFFF"/>
          <w:lang w:val="en-US" w:eastAsia="zh-CN"/>
        </w:rPr>
        <w:t>3</w:t>
      </w:r>
      <w:r>
        <w:rPr>
          <w:rFonts w:ascii="Times New Roman" w:hAnsi="Times New Roman" w:eastAsia="方正仿宋_GBK"/>
          <w:color w:val="333333"/>
          <w:sz w:val="32"/>
          <w:szCs w:val="32"/>
          <w:shd w:val="clear" w:color="auto" w:fill="FFFFFF"/>
        </w:rPr>
        <w:t>月</w:t>
      </w:r>
      <w:r>
        <w:rPr>
          <w:rFonts w:hint="eastAsia" w:ascii="Times New Roman" w:hAnsi="Times New Roman" w:eastAsia="方正仿宋_GBK"/>
          <w:color w:val="333333"/>
          <w:sz w:val="32"/>
          <w:szCs w:val="32"/>
          <w:shd w:val="clear" w:color="auto" w:fill="FFFFFF"/>
          <w:lang w:val="en-US" w:eastAsia="zh-CN"/>
        </w:rPr>
        <w:t>14</w:t>
      </w:r>
      <w:r>
        <w:rPr>
          <w:rFonts w:ascii="Times New Roman" w:hAnsi="Times New Roman" w:eastAsia="方正仿宋_GBK"/>
          <w:color w:val="333333"/>
          <w:sz w:val="32"/>
          <w:szCs w:val="32"/>
          <w:shd w:val="clear" w:color="auto" w:fill="FFFFFF"/>
        </w:rPr>
        <w:t>日下午</w:t>
      </w:r>
      <w:bookmarkStart w:id="0" w:name="_GoBack"/>
      <w:bookmarkEnd w:id="0"/>
      <w:r>
        <w:rPr>
          <w:rFonts w:hint="eastAsia" w:ascii="Times New Roman" w:hAnsi="Times New Roman" w:eastAsia="方正仿宋_GBK"/>
          <w:color w:val="333333"/>
          <w:sz w:val="32"/>
          <w:szCs w:val="32"/>
          <w:shd w:val="clear" w:color="auto" w:fill="FFFFFF"/>
          <w:lang w:val="en-US" w:eastAsia="zh-CN"/>
        </w:rPr>
        <w:t>5</w:t>
      </w:r>
      <w:r>
        <w:rPr>
          <w:rFonts w:ascii="Times New Roman" w:hAnsi="Times New Roman" w:eastAsia="方正仿宋_GBK"/>
          <w:color w:val="333333"/>
          <w:sz w:val="32"/>
          <w:szCs w:val="32"/>
          <w:shd w:val="clear" w:color="auto" w:fill="FFFFFF"/>
        </w:rPr>
        <w:t>：00点之前，迟到或不符合规定的投标文件恕不接受。</w:t>
      </w:r>
    </w:p>
    <w:p>
      <w:pPr>
        <w:pStyle w:val="13"/>
        <w:widowControl/>
        <w:spacing w:beforeAutospacing="0" w:afterAutospacing="0" w:line="580" w:lineRule="exact"/>
        <w:ind w:firstLine="420"/>
        <w:rPr>
          <w:rStyle w:val="16"/>
          <w:rFonts w:ascii="Times New Roman" w:hAnsi="Times New Roman" w:eastAsia="方正黑体_GBK"/>
          <w:color w:val="333333"/>
          <w:sz w:val="32"/>
          <w:szCs w:val="32"/>
          <w:shd w:val="clear" w:color="auto" w:fill="FFFFFF"/>
        </w:rPr>
      </w:pPr>
      <w:r>
        <w:rPr>
          <w:rStyle w:val="16"/>
          <w:rFonts w:ascii="Times New Roman" w:hAnsi="Times New Roman" w:eastAsia="方正黑体_GBK"/>
          <w:color w:val="333333"/>
          <w:sz w:val="32"/>
          <w:szCs w:val="32"/>
          <w:shd w:val="clear" w:color="auto" w:fill="FFFFFF"/>
        </w:rPr>
        <w:t>八、报名资料</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报名资料须采用信封包装并密封（一式五份</w:t>
      </w:r>
      <w:r>
        <w:rPr>
          <w:rFonts w:hint="eastAsia" w:ascii="Times New Roman" w:hAnsi="Times New Roman" w:eastAsia="方正仿宋_GBK"/>
          <w:color w:val="333333"/>
          <w:sz w:val="32"/>
          <w:szCs w:val="32"/>
          <w:shd w:val="clear" w:color="auto" w:fill="FFFFFF"/>
          <w:lang w:eastAsia="zh-CN"/>
        </w:rPr>
        <w:t>，</w:t>
      </w:r>
      <w:r>
        <w:rPr>
          <w:rFonts w:hint="eastAsia" w:ascii="Times New Roman" w:hAnsi="Times New Roman" w:eastAsia="方正仿宋_GBK"/>
          <w:color w:val="333333"/>
          <w:sz w:val="32"/>
          <w:szCs w:val="32"/>
          <w:shd w:val="clear" w:color="auto" w:fill="FFFFFF"/>
          <w:lang w:val="en-US" w:eastAsia="zh-CN"/>
        </w:rPr>
        <w:t>一正四副</w:t>
      </w:r>
      <w:r>
        <w:rPr>
          <w:rFonts w:ascii="Times New Roman" w:hAnsi="Times New Roman" w:eastAsia="方正仿宋_GBK"/>
          <w:color w:val="333333"/>
          <w:sz w:val="32"/>
          <w:szCs w:val="32"/>
          <w:shd w:val="clear" w:color="auto" w:fill="FFFFFF"/>
        </w:rPr>
        <w:t>），</w:t>
      </w:r>
      <w:r>
        <w:rPr>
          <w:rFonts w:hint="eastAsia" w:ascii="Times New Roman" w:hAnsi="Times New Roman" w:eastAsia="方正仿宋_GBK"/>
          <w:color w:val="333333"/>
          <w:sz w:val="32"/>
          <w:szCs w:val="32"/>
          <w:shd w:val="clear" w:color="auto" w:fill="FFFFFF"/>
          <w:lang w:val="en-US" w:eastAsia="zh-CN"/>
        </w:rPr>
        <w:t>正本</w:t>
      </w:r>
      <w:r>
        <w:rPr>
          <w:rFonts w:ascii="Times New Roman" w:hAnsi="Times New Roman" w:eastAsia="方正仿宋_GBK"/>
          <w:color w:val="333333"/>
          <w:sz w:val="32"/>
          <w:szCs w:val="32"/>
          <w:shd w:val="clear" w:color="auto" w:fill="FFFFFF"/>
        </w:rPr>
        <w:t>电子材料</w:t>
      </w:r>
      <w:r>
        <w:rPr>
          <w:rFonts w:hint="eastAsia" w:ascii="Times New Roman" w:hAnsi="Times New Roman" w:eastAsia="方正仿宋_GBK"/>
          <w:color w:val="333333"/>
          <w:sz w:val="32"/>
          <w:szCs w:val="32"/>
          <w:shd w:val="clear" w:color="auto" w:fill="FFFFFF"/>
          <w:lang w:val="en-US" w:eastAsia="zh-CN"/>
        </w:rPr>
        <w:t>1</w:t>
      </w:r>
      <w:r>
        <w:rPr>
          <w:rFonts w:ascii="Times New Roman" w:hAnsi="Times New Roman" w:eastAsia="方正仿宋_GBK"/>
          <w:color w:val="333333"/>
          <w:sz w:val="32"/>
          <w:szCs w:val="32"/>
          <w:shd w:val="clear" w:color="auto" w:fill="FFFFFF"/>
        </w:rPr>
        <w:t>份。信封上注明项目名称、供应商名称等字样。信封的封口应加盖供应商公章或法人授权代表签字。报名资料包括如下内容：</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（一）投标人简介、营业执照等资质证明材料。</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（二）投标方案及价格（包括所有费用的全包价）。</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（三）类似案例和荣誉的证明。</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（四）上一年度财务状况报告（表）或其基本</w:t>
      </w:r>
      <w:r>
        <w:rPr>
          <w:rFonts w:hint="eastAsia" w:ascii="Times New Roman" w:hAnsi="Times New Roman" w:eastAsia="方正仿宋_GBK"/>
          <w:color w:val="333333"/>
          <w:sz w:val="32"/>
          <w:szCs w:val="32"/>
          <w:shd w:val="clear" w:color="auto" w:fill="FFFFFF"/>
        </w:rPr>
        <w:t>账户</w:t>
      </w:r>
      <w:r>
        <w:rPr>
          <w:rFonts w:ascii="Times New Roman" w:hAnsi="Times New Roman" w:eastAsia="方正仿宋_GBK"/>
          <w:color w:val="333333"/>
          <w:sz w:val="32"/>
          <w:szCs w:val="32"/>
          <w:shd w:val="clear" w:color="auto" w:fill="FFFFFF"/>
        </w:rPr>
        <w:t>开户银行出具的资信证明复印件，本年度新成立或成立不满一年的组织和自然人无法提供财务状况报告（表）的，可提供银行出具的资信证明复印件。</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（五）书面声明，承诺具有履行合同所必需的设备和专业技术能力；承诺参加政府采购活动前三年内，在经营活动中没有受过刑事处罚、行政处罚、行业自律惩戒。</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（六）依法缴纳税收和社会保障金的证明材料复印件；依法免税或不需要缴纳社会保障资金的供应商，应提供相应文件证明其依法免税或不需要缴纳社会保障资金。</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（七）投标人法定代表人证明书或授权委托函原件材料。</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（八）投标人认为需要提供的其他材料。</w:t>
      </w:r>
    </w:p>
    <w:p>
      <w:pPr>
        <w:pStyle w:val="13"/>
        <w:widowControl/>
        <w:spacing w:beforeAutospacing="0" w:afterAutospacing="0" w:line="580" w:lineRule="exact"/>
        <w:ind w:firstLine="420"/>
        <w:rPr>
          <w:rStyle w:val="16"/>
          <w:rFonts w:ascii="Times New Roman" w:hAnsi="Times New Roman" w:eastAsia="方正黑体_GBK"/>
          <w:color w:val="333333"/>
          <w:sz w:val="32"/>
          <w:szCs w:val="32"/>
          <w:shd w:val="clear" w:color="auto" w:fill="FFFFFF"/>
        </w:rPr>
      </w:pPr>
      <w:r>
        <w:rPr>
          <w:rStyle w:val="16"/>
          <w:rFonts w:ascii="Times New Roman" w:hAnsi="Times New Roman" w:eastAsia="方正黑体_GBK"/>
          <w:color w:val="333333"/>
          <w:sz w:val="32"/>
          <w:szCs w:val="32"/>
          <w:shd w:val="clear" w:color="auto" w:fill="FFFFFF"/>
        </w:rPr>
        <w:t>九、报名方式</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本项目仅接受现场登记，请前往重庆市南岸区南滨路162号2幢</w:t>
      </w:r>
      <w:r>
        <w:rPr>
          <w:rFonts w:hint="eastAsia" w:ascii="Times New Roman" w:hAnsi="Times New Roman" w:eastAsia="方正仿宋_GBK"/>
          <w:color w:val="333333"/>
          <w:sz w:val="32"/>
          <w:szCs w:val="32"/>
          <w:shd w:val="clear" w:color="auto" w:fill="FFFFFF"/>
        </w:rPr>
        <w:t>1903</w:t>
      </w:r>
      <w:r>
        <w:rPr>
          <w:rFonts w:ascii="Times New Roman" w:hAnsi="Times New Roman" w:eastAsia="方正仿宋_GBK"/>
          <w:color w:val="333333"/>
          <w:sz w:val="32"/>
          <w:szCs w:val="32"/>
          <w:shd w:val="clear" w:color="auto" w:fill="FFFFFF"/>
        </w:rPr>
        <w:t>号房间。</w:t>
      </w:r>
    </w:p>
    <w:p>
      <w:pPr>
        <w:pStyle w:val="13"/>
        <w:widowControl/>
        <w:spacing w:beforeAutospacing="0" w:afterAutospacing="0" w:line="580" w:lineRule="exact"/>
        <w:ind w:firstLine="420"/>
        <w:rPr>
          <w:rStyle w:val="16"/>
          <w:rFonts w:ascii="Times New Roman" w:hAnsi="Times New Roman" w:eastAsia="方正黑体_GBK"/>
          <w:color w:val="333333"/>
          <w:sz w:val="32"/>
          <w:szCs w:val="32"/>
          <w:shd w:val="clear" w:color="auto" w:fill="FFFFFF"/>
        </w:rPr>
      </w:pPr>
      <w:r>
        <w:rPr>
          <w:rStyle w:val="16"/>
          <w:rFonts w:ascii="Times New Roman" w:hAnsi="Times New Roman" w:eastAsia="方正黑体_GBK"/>
          <w:color w:val="333333"/>
          <w:sz w:val="32"/>
          <w:szCs w:val="32"/>
          <w:shd w:val="clear" w:color="auto" w:fill="FFFFFF"/>
        </w:rPr>
        <w:t>十、其他需要公告内容</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（一）本项目不接受联合体投标。</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（二）本文件所涉及时间一律为北京时间。</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三）违约责任。若投标人无故弃标或存在其他违反招投标诚信行为的，将列入我委采购黑名单，不予接受任何采购供应服务，同时视情将有关情况报送相关财政部门，由财政部门根据实际情况记入供应商诚信档案。</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（四）我委享有最终解释权。</w:t>
      </w:r>
    </w:p>
    <w:p>
      <w:pPr>
        <w:pStyle w:val="13"/>
        <w:widowControl/>
        <w:spacing w:beforeAutospacing="0" w:afterAutospacing="0" w:line="580" w:lineRule="exact"/>
        <w:ind w:firstLine="420"/>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（五）联系人：谭老师，联系电话：023-62663069，联系地址：重庆市南岸区南滨路162号2幢。</w:t>
      </w:r>
    </w:p>
    <w:p>
      <w:pPr>
        <w:pStyle w:val="13"/>
        <w:widowControl/>
        <w:spacing w:beforeAutospacing="0" w:afterAutospacing="0" w:line="580" w:lineRule="exact"/>
        <w:rPr>
          <w:rFonts w:ascii="Times New Roman" w:hAnsi="Times New Roman" w:eastAsia="方正仿宋_GBK"/>
          <w:color w:val="333333"/>
          <w:sz w:val="32"/>
          <w:szCs w:val="32"/>
          <w:shd w:val="clear" w:color="auto" w:fill="FFFFFF"/>
        </w:rPr>
      </w:pPr>
    </w:p>
    <w:p>
      <w:pPr>
        <w:pStyle w:val="13"/>
        <w:widowControl/>
        <w:spacing w:beforeAutospacing="0" w:afterAutospacing="0" w:line="580" w:lineRule="exact"/>
        <w:rPr>
          <w:rFonts w:ascii="Times New Roman" w:hAnsi="Times New Roman" w:eastAsia="方正仿宋_GBK"/>
          <w:color w:val="333333"/>
          <w:sz w:val="32"/>
          <w:szCs w:val="32"/>
          <w:shd w:val="clear" w:color="auto" w:fill="FFFFFF"/>
        </w:rPr>
      </w:pPr>
    </w:p>
    <w:p>
      <w:pPr>
        <w:pStyle w:val="13"/>
        <w:widowControl/>
        <w:spacing w:beforeAutospacing="0" w:afterAutospacing="0" w:line="580" w:lineRule="exact"/>
        <w:ind w:firstLine="420"/>
        <w:jc w:val="right"/>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重庆市商务委员会</w:t>
      </w:r>
    </w:p>
    <w:p>
      <w:pPr>
        <w:pStyle w:val="13"/>
        <w:widowControl/>
        <w:spacing w:beforeAutospacing="0" w:afterAutospacing="0" w:line="580" w:lineRule="exact"/>
        <w:ind w:firstLine="420"/>
        <w:jc w:val="right"/>
        <w:rPr>
          <w:rFonts w:ascii="Times New Roman" w:hAnsi="Times New Roman" w:eastAsia="方正仿宋_GBK"/>
          <w:color w:val="333333"/>
          <w:sz w:val="32"/>
          <w:szCs w:val="32"/>
          <w:shd w:val="clear" w:color="auto" w:fill="FFFFFF"/>
        </w:rPr>
      </w:pPr>
      <w:r>
        <w:rPr>
          <w:rFonts w:ascii="Times New Roman" w:hAnsi="Times New Roman" w:eastAsia="方正仿宋_GBK"/>
          <w:color w:val="333333"/>
          <w:sz w:val="32"/>
          <w:szCs w:val="32"/>
          <w:shd w:val="clear" w:color="auto" w:fill="FFFFFF"/>
        </w:rPr>
        <w:t>2023年</w:t>
      </w:r>
      <w:r>
        <w:rPr>
          <w:rFonts w:hint="eastAsia" w:ascii="Times New Roman" w:hAnsi="Times New Roman" w:eastAsia="方正仿宋_GBK"/>
          <w:color w:val="333333"/>
          <w:sz w:val="32"/>
          <w:szCs w:val="32"/>
          <w:shd w:val="clear" w:color="auto" w:fill="FFFFFF"/>
          <w:lang w:val="en-US" w:eastAsia="zh-CN"/>
        </w:rPr>
        <w:t>3</w:t>
      </w:r>
      <w:r>
        <w:rPr>
          <w:rFonts w:ascii="Times New Roman" w:hAnsi="Times New Roman" w:eastAsia="方正仿宋_GBK"/>
          <w:color w:val="333333"/>
          <w:sz w:val="32"/>
          <w:szCs w:val="32"/>
          <w:shd w:val="clear" w:color="auto" w:fill="FFFFFF"/>
        </w:rPr>
        <w:t>月</w:t>
      </w:r>
      <w:r>
        <w:rPr>
          <w:rFonts w:hint="eastAsia" w:ascii="Times New Roman" w:hAnsi="Times New Roman" w:eastAsia="方正仿宋_GBK"/>
          <w:color w:val="333333"/>
          <w:sz w:val="32"/>
          <w:szCs w:val="32"/>
          <w:shd w:val="clear" w:color="auto" w:fill="FFFFFF"/>
          <w:lang w:val="en-US" w:eastAsia="zh-CN"/>
        </w:rPr>
        <w:t>9</w:t>
      </w:r>
      <w:r>
        <w:rPr>
          <w:rFonts w:ascii="Times New Roman" w:hAnsi="Times New Roman" w:eastAsia="方正仿宋_GBK"/>
          <w:color w:val="333333"/>
          <w:sz w:val="32"/>
          <w:szCs w:val="32"/>
          <w:shd w:val="clear" w:color="auto" w:fill="FFFFFF"/>
        </w:rPr>
        <w:t>日</w:t>
      </w:r>
    </w:p>
    <w:p>
      <w:pPr>
        <w:spacing w:line="580" w:lineRule="exact"/>
        <w:rPr>
          <w:rFonts w:ascii="Times New Roman" w:hAnsi="Times New Roman" w:cs="Times New Roman"/>
        </w:rPr>
      </w:pPr>
    </w:p>
    <w:sectPr>
      <w:footerReference r:id="rId3" w:type="default"/>
      <w:footerReference r:id="rId4" w:type="even"/>
      <w:pgSz w:w="11906" w:h="16838"/>
      <w:pgMar w:top="2098" w:right="1531" w:bottom="1985"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Luxi Sans">
    <w:altName w:val="Arial"/>
    <w:panose1 w:val="00000000000000000000"/>
    <w:charset w:val="00"/>
    <w:family w:val="auto"/>
    <w:pitch w:val="default"/>
    <w:sig w:usb0="00000000" w:usb1="00000000" w:usb2="00000000" w:usb3="00000000" w:csb0="0000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rPr>
        <w:rFonts w:ascii="宋体"/>
        <w:sz w:val="28"/>
        <w:szCs w:val="28"/>
      </w:rPr>
    </w:pPr>
    <w:r>
      <w:rPr>
        <w:rFonts w:hint="eastAsia" w:ascii="宋体"/>
        <w:sz w:val="28"/>
        <w:szCs w:val="28"/>
      </w:rPr>
      <w:t xml:space="preserve">— </w:t>
    </w:r>
    <w:r>
      <w:rPr>
        <w:rFonts w:ascii="宋体"/>
        <w:sz w:val="28"/>
        <w:szCs w:val="28"/>
      </w:rPr>
      <w:fldChar w:fldCharType="begin"/>
    </w:r>
    <w:r>
      <w:rPr>
        <w:rFonts w:ascii="宋体"/>
        <w:sz w:val="28"/>
        <w:szCs w:val="28"/>
      </w:rPr>
      <w:instrText xml:space="preserve">PAGE   \* MERGEFORMAT</w:instrText>
    </w:r>
    <w:r>
      <w:rPr>
        <w:rFonts w:ascii="宋体"/>
        <w:sz w:val="28"/>
        <w:szCs w:val="28"/>
      </w:rPr>
      <w:fldChar w:fldCharType="separate"/>
    </w:r>
    <w:r>
      <w:rPr>
        <w:rFonts w:ascii="宋体"/>
        <w:sz w:val="28"/>
        <w:szCs w:val="28"/>
        <w:lang w:val="zh-CN"/>
      </w:rPr>
      <w:t>1</w:t>
    </w:r>
    <w:r>
      <w:rPr>
        <w:rFonts w:ascii="宋体"/>
        <w:sz w:val="28"/>
        <w:szCs w:val="28"/>
      </w:rPr>
      <w:fldChar w:fldCharType="end"/>
    </w:r>
    <w:r>
      <w:rPr>
        <w:rFonts w:ascii="宋体"/>
        <w:sz w:val="28"/>
        <w:szCs w:val="28"/>
      </w:rPr>
      <w:t xml:space="preserve"> </w:t>
    </w:r>
    <w:r>
      <w:rPr>
        <w:rFonts w:hint="eastAsia" w:ascii="宋体"/>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right"/>
      <w:rPr>
        <w:rFonts w:ascii="宋体"/>
        <w:sz w:val="28"/>
        <w:szCs w:val="28"/>
      </w:rPr>
    </w:pPr>
    <w:r>
      <w:rPr>
        <w:rFonts w:hint="eastAsia" w:ascii="宋体"/>
        <w:sz w:val="28"/>
        <w:szCs w:val="28"/>
      </w:rPr>
      <w:t>—</w:t>
    </w:r>
    <w:r>
      <w:rPr>
        <w:rFonts w:ascii="宋体"/>
        <w:sz w:val="28"/>
        <w:szCs w:val="28"/>
      </w:rPr>
      <w:t xml:space="preserve"> </w:t>
    </w:r>
    <w:r>
      <w:rPr>
        <w:rFonts w:ascii="宋体"/>
        <w:sz w:val="28"/>
        <w:szCs w:val="28"/>
      </w:rPr>
      <w:fldChar w:fldCharType="begin"/>
    </w:r>
    <w:r>
      <w:rPr>
        <w:rFonts w:ascii="宋体"/>
        <w:sz w:val="28"/>
        <w:szCs w:val="28"/>
      </w:rPr>
      <w:instrText xml:space="preserve">PAGE   \* MERGEFORMAT</w:instrText>
    </w:r>
    <w:r>
      <w:rPr>
        <w:rFonts w:ascii="宋体"/>
        <w:sz w:val="28"/>
        <w:szCs w:val="28"/>
      </w:rPr>
      <w:fldChar w:fldCharType="separate"/>
    </w:r>
    <w:r>
      <w:rPr>
        <w:rFonts w:ascii="宋体"/>
        <w:sz w:val="28"/>
        <w:szCs w:val="28"/>
        <w:lang w:val="zh-CN"/>
      </w:rPr>
      <w:t>1</w:t>
    </w:r>
    <w:r>
      <w:rPr>
        <w:rFonts w:ascii="宋体"/>
        <w:sz w:val="28"/>
        <w:szCs w:val="28"/>
      </w:rPr>
      <w:fldChar w:fldCharType="end"/>
    </w:r>
    <w:r>
      <w:rPr>
        <w:rFonts w:ascii="宋体"/>
        <w:sz w:val="28"/>
        <w:szCs w:val="28"/>
      </w:rPr>
      <w:t xml:space="preserve"> </w:t>
    </w:r>
    <w:r>
      <w:rPr>
        <w:rFonts w:hint="eastAsia" w:ascii="宋体"/>
        <w:sz w:val="28"/>
        <w:szCs w:val="28"/>
      </w:rPr>
      <w:t>—</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CBA95D"/>
    <w:multiLevelType w:val="singleLevel"/>
    <w:tmpl w:val="BDCBA95D"/>
    <w:lvl w:ilvl="0" w:tentative="0">
      <w:start w:val="2"/>
      <w:numFmt w:val="chineseCounting"/>
      <w:suff w:val="nothing"/>
      <w:lvlText w:val="（%1）"/>
      <w:lvlJc w:val="left"/>
      <w:pPr>
        <w:tabs>
          <w:tab w:val="left" w:pos="0"/>
        </w:tabs>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evenAndOddHeaders w:val="1"/>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ulTrailSpace/>
    <w:doNotExpandShiftReturn/>
    <w:adjustLineHeightInTable/>
    <w:useFELayout/>
    <w:doNotUseIndentAsNumberingTabStop/>
    <w:compatSetting w:name="compatibilityMode" w:uri="http://schemas.microsoft.com/office/word" w:val="14"/>
  </w:compat>
  <w:docVars>
    <w:docVar w:name="commondata" w:val="eyJoZGlkIjoiYjMzNTIzOWM3YWU0ZTg2ZmFkYjA0MmM1NDE3YWU1MzcifQ=="/>
  </w:docVars>
  <w:rsids>
    <w:rsidRoot w:val="00000000"/>
    <w:rsid w:val="39174AC1"/>
    <w:rsid w:val="48DE5FAA"/>
    <w:rsid w:val="62E07ED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Calibri" w:hAnsi="Calibri" w:eastAsia="宋体" w:cs="Arial"/>
      <w:kern w:val="2"/>
      <w:sz w:val="21"/>
      <w:szCs w:val="24"/>
      <w:lang w:val="en-US" w:eastAsia="zh-CN" w:bidi="ar-SA"/>
    </w:rPr>
  </w:style>
  <w:style w:type="paragraph" w:styleId="3">
    <w:name w:val="heading 1"/>
    <w:basedOn w:val="1"/>
    <w:next w:val="1"/>
    <w:uiPriority w:val="0"/>
    <w:pPr>
      <w:keepNext/>
      <w:keepLines/>
      <w:spacing w:before="340" w:after="330" w:line="578" w:lineRule="auto"/>
      <w:outlineLvl w:val="0"/>
    </w:pPr>
    <w:rPr>
      <w:b/>
      <w:bCs/>
      <w:kern w:val="44"/>
      <w:sz w:val="44"/>
    </w:rPr>
  </w:style>
  <w:style w:type="paragraph" w:styleId="4">
    <w:name w:val="heading 2"/>
    <w:basedOn w:val="1"/>
    <w:next w:val="1"/>
    <w:uiPriority w:val="0"/>
    <w:pPr>
      <w:keepNext/>
      <w:keepLines/>
      <w:spacing w:before="260" w:after="260" w:line="415" w:lineRule="auto"/>
      <w:outlineLvl w:val="1"/>
    </w:pPr>
    <w:rPr>
      <w:rFonts w:ascii="Luxi Sans" w:hAnsi="Luxi Sans" w:eastAsia="黑体"/>
      <w:b/>
      <w:sz w:val="32"/>
    </w:rPr>
  </w:style>
  <w:style w:type="paragraph" w:styleId="2">
    <w:name w:val="heading 3"/>
    <w:basedOn w:val="1"/>
    <w:next w:val="1"/>
    <w:qFormat/>
    <w:uiPriority w:val="0"/>
    <w:pPr>
      <w:keepNext/>
      <w:keepLines/>
      <w:widowControl w:val="0"/>
      <w:spacing w:before="260" w:after="260" w:line="413" w:lineRule="auto"/>
      <w:outlineLvl w:val="2"/>
    </w:pPr>
    <w:rPr>
      <w:b/>
      <w:sz w:val="32"/>
    </w:rPr>
  </w:style>
  <w:style w:type="character" w:default="1" w:styleId="15">
    <w:name w:val="Default Paragraph Font"/>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5">
    <w:name w:val="annotation text"/>
    <w:basedOn w:val="1"/>
    <w:qFormat/>
    <w:uiPriority w:val="0"/>
    <w:pPr>
      <w:jc w:val="left"/>
    </w:pPr>
  </w:style>
  <w:style w:type="paragraph" w:styleId="6">
    <w:name w:val="toc 5"/>
    <w:basedOn w:val="1"/>
    <w:next w:val="1"/>
    <w:qFormat/>
    <w:uiPriority w:val="0"/>
    <w:pPr>
      <w:ind w:left="1680"/>
    </w:pPr>
  </w:style>
  <w:style w:type="paragraph" w:styleId="7">
    <w:name w:val="toc 3"/>
    <w:basedOn w:val="1"/>
    <w:next w:val="1"/>
    <w:qFormat/>
    <w:uiPriority w:val="0"/>
    <w:pPr>
      <w:ind w:left="840"/>
    </w:p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toc 1"/>
    <w:basedOn w:val="1"/>
    <w:next w:val="1"/>
    <w:qFormat/>
    <w:uiPriority w:val="0"/>
  </w:style>
  <w:style w:type="paragraph" w:styleId="11">
    <w:name w:val="toc 4"/>
    <w:basedOn w:val="1"/>
    <w:next w:val="1"/>
    <w:qFormat/>
    <w:uiPriority w:val="0"/>
    <w:pPr>
      <w:ind w:left="1260"/>
    </w:pPr>
  </w:style>
  <w:style w:type="paragraph" w:styleId="12">
    <w:name w:val="toc 2"/>
    <w:basedOn w:val="1"/>
    <w:next w:val="1"/>
    <w:qFormat/>
    <w:uiPriority w:val="0"/>
    <w:pPr>
      <w:ind w:left="420"/>
    </w:pPr>
  </w:style>
  <w:style w:type="paragraph" w:styleId="13">
    <w:name w:val="Normal (Web)"/>
    <w:basedOn w:val="1"/>
    <w:qFormat/>
    <w:uiPriority w:val="0"/>
    <w:pPr>
      <w:spacing w:beforeAutospacing="1" w:afterAutospacing="1"/>
      <w:jc w:val="left"/>
    </w:pPr>
    <w:rPr>
      <w:rFonts w:cs="Times New Roman"/>
      <w:kern w:val="0"/>
      <w:sz w:val="24"/>
    </w:rPr>
  </w:style>
  <w:style w:type="character" w:styleId="16">
    <w:name w:val="Strong"/>
    <w:basedOn w:val="15"/>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7</Pages>
  <Words>2457</Words>
  <Characters>2602</Characters>
  <Lines>173</Lines>
  <Paragraphs>89</Paragraphs>
  <TotalTime>1</TotalTime>
  <ScaleCrop>false</ScaleCrop>
  <LinksUpToDate>false</LinksUpToDate>
  <CharactersWithSpaces>2603</CharactersWithSpaces>
  <Application>WPS Office_11.1.0.13703_F1E327BC-269C-435d-A152-05C5408002CA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刘倩</cp:lastModifiedBy>
  <cp:lastPrinted>2023-02-16T08:35:00Z</cp:lastPrinted>
  <dcterms:modified xsi:type="dcterms:W3CDTF">2023-03-09T03:21:14Z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79E0AD0961B944249FEC0C0642012C04</vt:lpwstr>
  </property>
</Properties>
</file>