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tabs>
          <w:tab w:val="left" w:pos="7850"/>
        </w:tabs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jc w:val="left"/>
        <w:rPr>
          <w:rFonts w:hint="eastAsia" w:ascii="Times New Roman" w:hAnsi="Times New Roman" w:eastAsia="方正小标宋_GBK" w:cs="方正小标宋_GBK"/>
          <w:spacing w:val="-11"/>
          <w:w w:val="100"/>
          <w:sz w:val="44"/>
          <w:szCs w:val="44"/>
          <w:lang w:val="en-US" w:eastAsia="zh-CN"/>
        </w:rPr>
      </w:pPr>
      <w:r>
        <w:rPr>
          <w:rFonts w:hint="eastAsia" w:ascii="Times New Roman" w:hAnsi="Times New Roman" w:eastAsia="方正黑体_GBK" w:cs="方正黑体_GBK"/>
          <w:b w:val="0"/>
          <w:bCs w:val="0"/>
          <w:spacing w:val="42"/>
          <w:w w:val="106"/>
          <w:sz w:val="32"/>
          <w:szCs w:val="32"/>
          <w:lang w:val="en-US" w:eastAsia="zh-CN"/>
        </w:rPr>
        <w:t>附件4</w:t>
      </w:r>
    </w:p>
    <w:p>
      <w:pPr>
        <w:pStyle w:val="2"/>
        <w:tabs>
          <w:tab w:val="left" w:pos="7850"/>
        </w:tabs>
        <w:spacing w:before="230" w:line="222" w:lineRule="auto"/>
        <w:jc w:val="center"/>
        <w:rPr>
          <w:rFonts w:hint="eastAsia" w:ascii="方正公文小标宋" w:hAnsi="方正公文小标宋" w:eastAsia="方正公文小标宋" w:cs="方正公文小标宋"/>
          <w:spacing w:val="-11"/>
          <w:w w:val="106"/>
          <w:sz w:val="36"/>
          <w:szCs w:val="36"/>
          <w:lang w:val="en-US" w:eastAsia="zh-CN"/>
        </w:rPr>
      </w:pPr>
      <w:r>
        <w:rPr>
          <w:rFonts w:hint="eastAsia" w:ascii="方正公文小标宋" w:hAnsi="方正公文小标宋" w:eastAsia="方正公文小标宋" w:cs="方正公文小标宋"/>
          <w:spacing w:val="-11"/>
          <w:w w:val="106"/>
          <w:sz w:val="36"/>
          <w:szCs w:val="36"/>
          <w:lang w:val="en-US" w:eastAsia="zh-CN"/>
        </w:rPr>
        <w:t>重庆美食“渝味360碗”2024年美食街区名单</w:t>
      </w:r>
    </w:p>
    <w:p>
      <w:pPr>
        <w:pStyle w:val="2"/>
        <w:tabs>
          <w:tab w:val="left" w:pos="7850"/>
        </w:tabs>
        <w:spacing w:before="230" w:line="222" w:lineRule="auto"/>
        <w:jc w:val="center"/>
        <w:rPr>
          <w:rFonts w:hint="eastAsia" w:ascii="方正公文小标宋" w:hAnsi="方正公文小标宋" w:eastAsia="方正公文小标宋" w:cs="方正公文小标宋"/>
          <w:spacing w:val="-11"/>
          <w:w w:val="106"/>
          <w:sz w:val="36"/>
          <w:szCs w:val="36"/>
          <w:lang w:val="en-US" w:eastAsia="zh-CN"/>
        </w:rPr>
      </w:pPr>
    </w:p>
    <w:tbl>
      <w:tblPr>
        <w:tblStyle w:val="4"/>
        <w:tblW w:w="8709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9"/>
        <w:gridCol w:w="1558"/>
        <w:gridCol w:w="3091"/>
        <w:gridCol w:w="309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黑体_GBK" w:cs="方正黑体_GBK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黑体_GBK" w:cs="方正黑体_GBK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序号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黑体_GBK" w:cs="方正黑体_GBK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黑体_GBK" w:cs="方正黑体_GBK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区县</w:t>
            </w:r>
          </w:p>
        </w:tc>
        <w:tc>
          <w:tcPr>
            <w:tcW w:w="3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黑体_GBK" w:cs="方正黑体_GBK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黑体_GBK" w:cs="方正黑体_GBK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美食街区名称</w:t>
            </w:r>
          </w:p>
        </w:tc>
        <w:tc>
          <w:tcPr>
            <w:tcW w:w="3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default" w:ascii="Times New Roman" w:hAnsi="Times New Roman" w:eastAsia="方正黑体_GBK" w:cs="方正黑体_GBK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黑体_GBK" w:cs="方正黑体_GBK"/>
                <w:b w:val="0"/>
                <w:bCs w:val="0"/>
                <w:i w:val="0"/>
                <w:iCs w:val="0"/>
                <w:snapToGrid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美食街区地址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1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渝中区</w:t>
            </w:r>
          </w:p>
        </w:tc>
        <w:tc>
          <w:tcPr>
            <w:tcW w:w="3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十八梯·山城巷</w:t>
            </w:r>
          </w:p>
        </w:tc>
        <w:tc>
          <w:tcPr>
            <w:tcW w:w="3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重庆市渝中区中兴路1号、中兴路234号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2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default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九龙坡区</w:t>
            </w:r>
          </w:p>
        </w:tc>
        <w:tc>
          <w:tcPr>
            <w:tcW w:w="3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巴国城美食街</w:t>
            </w:r>
          </w:p>
        </w:tc>
        <w:tc>
          <w:tcPr>
            <w:tcW w:w="3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重庆市九龙坡区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红狮大道6号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3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两江新区</w:t>
            </w:r>
          </w:p>
        </w:tc>
        <w:tc>
          <w:tcPr>
            <w:tcW w:w="3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火凤山美食汇</w:t>
            </w:r>
          </w:p>
        </w:tc>
        <w:tc>
          <w:tcPr>
            <w:tcW w:w="3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重庆市渝北区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万年路398号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4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南岸区</w:t>
            </w:r>
          </w:p>
        </w:tc>
        <w:tc>
          <w:tcPr>
            <w:tcW w:w="3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长嘉汇·龙门浩</w:t>
            </w:r>
          </w:p>
        </w:tc>
        <w:tc>
          <w:tcPr>
            <w:tcW w:w="3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重庆市</w:t>
            </w:r>
            <w:r>
              <w:rPr>
                <w:rFonts w:hint="default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南岸区泰昌路69号-南滨路105号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5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万州区</w:t>
            </w:r>
          </w:p>
        </w:tc>
        <w:tc>
          <w:tcPr>
            <w:tcW w:w="3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天生城文旅街区</w:t>
            </w:r>
          </w:p>
        </w:tc>
        <w:tc>
          <w:tcPr>
            <w:tcW w:w="3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重庆市万州区周家坝石城路与天城西路之间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6</w:t>
            </w:r>
          </w:p>
        </w:tc>
        <w:tc>
          <w:tcPr>
            <w:tcW w:w="15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江北区</w:t>
            </w:r>
          </w:p>
        </w:tc>
        <w:tc>
          <w:tcPr>
            <w:tcW w:w="3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陶然居大观园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  <w:t>·新国潮坊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94" w:lineRule="exact"/>
              <w:jc w:val="center"/>
              <w:textAlignment w:val="center"/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方正仿宋_GBK" w:cs="方正仿宋_GBK"/>
                <w:i w:val="0"/>
                <w:iCs w:val="0"/>
                <w:snapToGrid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（备注：创建期一年）</w:t>
            </w:r>
          </w:p>
        </w:tc>
        <w:tc>
          <w:tcPr>
            <w:tcW w:w="30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="仿宋" w:cs="仿宋"/>
                <w:i w:val="0"/>
                <w:iCs w:val="0"/>
                <w:snapToGrid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重庆市江北区观音桥街道鸿恩路158号</w:t>
            </w:r>
          </w:p>
        </w:tc>
      </w:tr>
    </w:tbl>
    <w:p>
      <w:pPr>
        <w:keepNext w:val="0"/>
        <w:keepLines w:val="0"/>
        <w:pageBreakBefore w:val="0"/>
        <w:widowControl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rPr>
          <w:rFonts w:ascii="Times New Roman" w:hAnsi="Times New Roman" w:eastAsia="宋体" w:cs="宋体"/>
          <w:sz w:val="30"/>
          <w:szCs w:val="30"/>
        </w:rPr>
      </w:pPr>
    </w:p>
    <w:p>
      <w:pPr>
        <w:rPr>
          <w:rFonts w:hint="eastAsia" w:ascii="Times New Roman" w:hAnsi="Times New Roman" w:eastAsia="等线"/>
          <w:lang w:eastAsia="zh-CN"/>
        </w:rPr>
      </w:pPr>
    </w:p>
    <w:p>
      <w:pPr>
        <w:keepNext w:val="0"/>
        <w:keepLines w:val="0"/>
        <w:pageBreakBefore w:val="0"/>
        <w:widowControl/>
        <w:tabs>
          <w:tab w:val="left" w:pos="1742"/>
        </w:tabs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rPr>
          <w:rFonts w:hint="eastAsia" w:ascii="Times New Roman" w:hAnsi="Times New Roman" w:eastAsia="宋体" w:cs="宋体"/>
          <w:sz w:val="30"/>
          <w:szCs w:val="30"/>
          <w:lang w:eastAsia="zh-CN"/>
        </w:rPr>
      </w:pPr>
    </w:p>
    <w:p>
      <w:bookmarkStart w:id="0" w:name="_GoBack"/>
      <w:bookmarkEnd w:id="0"/>
    </w:p>
    <w:sectPr>
      <w:footerReference r:id="rId5" w:type="default"/>
      <w:pgSz w:w="11910" w:h="16840"/>
      <w:pgMar w:top="1431" w:right="1400" w:bottom="400" w:left="1430" w:header="0" w:footer="850" w:gutter="0"/>
      <w:pgNumType w:fmt="decimal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GA044yAgAAYQQAAA4AAABkcnMvZTJvRG9jLnhtbK1UzY7TMBC+I/EO&#10;lu80aStW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pm/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4YDTjj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M5YmFjYzA0YzkwZTg4YWE2NzUxMDJlYWNmYzM0MDMifQ=="/>
  </w:docVars>
  <w:rsids>
    <w:rsidRoot w:val="349150F6"/>
    <w:rsid w:val="349150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2"/>
      <w:szCs w:val="32"/>
      <w:lang w:val="en-US" w:eastAsia="en-US" w:bidi="ar-SA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Office_12.1.0.16894_F1E327BC-269C-435d-A152-05C5408002CA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2024-09-06T06:45:00Z</dcterms:created>
  <dc:creator>ASUS</dc:creator>
  <cp:lastModifiedBy>ASUS</cp:lastModifiedBy>
  <dcterms:modified xsi:type="dcterms:W3CDTF">2024-09-06T06:46:33Z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2052-12.1.0.16894</vt:lpwstr>
  </property>
  <property fmtid="{D5CDD505-2E9C-101B-9397-08002B2CF9AE}" pid="3" name="ICV">
    <vt:lpwstr>8AF597A930F34964BE2BE337F7464699_11</vt:lpwstr>
  </property>
</Properties>
</file>