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3F623E">
      <w:pPr>
        <w:pStyle w:val="6"/>
        <w:rPr>
          <w:rFonts w:hint="default" w:ascii="Times New Roman" w:hAnsi="Times New Roman" w:eastAsia="方正黑体_GBK" w:cs="Times New Roman"/>
          <w:color w:val="333333"/>
          <w:sz w:val="32"/>
          <w:szCs w:val="32"/>
          <w:shd w:val="clear" w:color="auto" w:fill="FFFFFF"/>
          <w:lang w:val="en-US" w:eastAsia="zh-CN"/>
        </w:rPr>
      </w:pPr>
      <w:r>
        <w:rPr>
          <w:rFonts w:hint="default" w:ascii="Times New Roman" w:hAnsi="Times New Roman" w:eastAsia="方正黑体_GBK" w:cs="Times New Roman"/>
          <w:color w:val="333333"/>
          <w:sz w:val="32"/>
          <w:szCs w:val="32"/>
          <w:shd w:val="clear" w:color="auto" w:fill="FFFFFF"/>
          <w:lang w:eastAsia="zh-CN"/>
        </w:rPr>
        <w:t>附件</w:t>
      </w:r>
      <w:r>
        <w:rPr>
          <w:rFonts w:hint="default" w:ascii="Times New Roman" w:hAnsi="Times New Roman" w:eastAsia="方正黑体_GBK" w:cs="Times New Roman"/>
          <w:color w:val="333333"/>
          <w:sz w:val="32"/>
          <w:szCs w:val="32"/>
          <w:shd w:val="clear" w:color="auto" w:fill="FFFFFF"/>
          <w:lang w:val="en-US" w:eastAsia="zh-CN"/>
        </w:rPr>
        <w:t>2</w:t>
      </w:r>
    </w:p>
    <w:p w14:paraId="26A604C7">
      <w:pPr>
        <w:keepNext w:val="0"/>
        <w:keepLines w:val="0"/>
        <w:pageBreakBefore w:val="0"/>
        <w:widowControl w:val="0"/>
        <w:kinsoku/>
        <w:wordWrap/>
        <w:overflowPunct/>
        <w:topLinePunct w:val="0"/>
        <w:autoSpaceDE/>
        <w:autoSpaceDN/>
        <w:bidi w:val="0"/>
        <w:adjustRightInd/>
        <w:snapToGrid/>
        <w:spacing w:line="594" w:lineRule="exact"/>
        <w:ind w:right="0" w:rightChars="0"/>
        <w:jc w:val="center"/>
        <w:textAlignment w:val="auto"/>
        <w:outlineLvl w:val="9"/>
        <w:rPr>
          <w:rFonts w:hint="default" w:ascii="Times New Roman" w:hAnsi="Times New Roman" w:eastAsia="方正小标宋_GBK" w:cs="Times New Roman"/>
          <w:sz w:val="36"/>
          <w:szCs w:val="36"/>
          <w:lang w:val="en-US" w:eastAsia="zh-CN"/>
        </w:rPr>
      </w:pPr>
      <w:r>
        <w:rPr>
          <w:rFonts w:hint="default" w:ascii="Times New Roman" w:hAnsi="Times New Roman" w:eastAsia="方正小标宋_GBK" w:cs="Times New Roman"/>
          <w:sz w:val="36"/>
          <w:szCs w:val="36"/>
          <w:lang w:val="en-US" w:eastAsia="zh-CN"/>
        </w:rPr>
        <w:t>评标办法</w:t>
      </w:r>
    </w:p>
    <w:p w14:paraId="50E28CD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sz w:val="32"/>
          <w:szCs w:val="32"/>
          <w:lang w:eastAsia="zh-CN"/>
        </w:rPr>
      </w:pPr>
      <w:r>
        <w:rPr>
          <w:rFonts w:hint="default" w:ascii="Times New Roman" w:hAnsi="Times New Roman" w:eastAsia="方正楷体_GBK" w:cs="Times New Roman"/>
          <w:sz w:val="32"/>
          <w:szCs w:val="32"/>
          <w:lang w:eastAsia="zh-CN"/>
        </w:rPr>
        <w:t>一、资格性检查。</w:t>
      </w:r>
      <w:r>
        <w:rPr>
          <w:rFonts w:hint="default" w:ascii="Times New Roman" w:hAnsi="Times New Roman" w:eastAsia="方正仿宋_GBK" w:cs="Times New Roman"/>
          <w:sz w:val="32"/>
          <w:szCs w:val="32"/>
          <w:lang w:eastAsia="zh-CN"/>
        </w:rPr>
        <w:t>依据法律法规和公告的规定，对项目申报书中的资格证明进行审查，以确定申请单位是否具备投标资格。资格性检查资料表如下：</w:t>
      </w:r>
    </w:p>
    <w:tbl>
      <w:tblPr>
        <w:tblStyle w:val="4"/>
        <w:tblW w:w="8794" w:type="dxa"/>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675"/>
        <w:gridCol w:w="2207"/>
        <w:gridCol w:w="5912"/>
      </w:tblGrid>
      <w:tr w14:paraId="75FF504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64" w:hRule="atLeast"/>
          <w:tblCellSpacing w:w="0" w:type="dxa"/>
          <w:jc w:val="center"/>
        </w:trPr>
        <w:tc>
          <w:tcPr>
            <w:tcW w:w="2882" w:type="dxa"/>
            <w:gridSpan w:val="2"/>
            <w:tcMar>
              <w:top w:w="75" w:type="dxa"/>
              <w:left w:w="75" w:type="dxa"/>
              <w:bottom w:w="75" w:type="dxa"/>
              <w:right w:w="75" w:type="dxa"/>
            </w:tcMar>
            <w:vAlign w:val="center"/>
          </w:tcPr>
          <w:p w14:paraId="06066541">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检查因素</w:t>
            </w:r>
          </w:p>
        </w:tc>
        <w:tc>
          <w:tcPr>
            <w:tcW w:w="5912" w:type="dxa"/>
            <w:tcMar>
              <w:top w:w="75" w:type="dxa"/>
              <w:left w:w="75" w:type="dxa"/>
              <w:bottom w:w="75" w:type="dxa"/>
              <w:right w:w="75" w:type="dxa"/>
            </w:tcMar>
            <w:vAlign w:val="center"/>
          </w:tcPr>
          <w:p w14:paraId="7B19AB60">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检查内容</w:t>
            </w:r>
          </w:p>
        </w:tc>
      </w:tr>
      <w:tr w14:paraId="4DC711F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144" w:hRule="atLeast"/>
          <w:tblCellSpacing w:w="0" w:type="dxa"/>
          <w:jc w:val="center"/>
        </w:trPr>
        <w:tc>
          <w:tcPr>
            <w:tcW w:w="675" w:type="dxa"/>
            <w:vMerge w:val="restart"/>
            <w:tcMar>
              <w:top w:w="75" w:type="dxa"/>
              <w:left w:w="75" w:type="dxa"/>
              <w:bottom w:w="75" w:type="dxa"/>
              <w:right w:w="75" w:type="dxa"/>
            </w:tcMar>
            <w:vAlign w:val="center"/>
          </w:tcPr>
          <w:p w14:paraId="6F308464">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lang w:eastAsia="zh-CN"/>
              </w:rPr>
              <w:t>申报单位</w:t>
            </w:r>
            <w:r>
              <w:rPr>
                <w:rFonts w:hint="default" w:ascii="Times New Roman" w:hAnsi="Times New Roman" w:eastAsia="方正仿宋_GBK" w:cs="Times New Roman"/>
                <w:color w:val="auto"/>
                <w:sz w:val="24"/>
                <w:highlight w:val="none"/>
              </w:rPr>
              <w:t>应符合的基本</w:t>
            </w:r>
            <w:r>
              <w:rPr>
                <w:rFonts w:hint="eastAsia" w:ascii="Times New Roman" w:hAnsi="Times New Roman" w:eastAsia="方正仿宋_GBK" w:cs="Times New Roman"/>
                <w:color w:val="auto"/>
                <w:sz w:val="24"/>
                <w:highlight w:val="none"/>
                <w:lang w:val="en-US" w:eastAsia="zh-CN"/>
              </w:rPr>
              <w:t>资格</w:t>
            </w:r>
            <w:r>
              <w:rPr>
                <w:rFonts w:hint="default" w:ascii="Times New Roman" w:hAnsi="Times New Roman" w:eastAsia="方正仿宋_GBK" w:cs="Times New Roman"/>
                <w:color w:val="auto"/>
                <w:sz w:val="24"/>
                <w:highlight w:val="none"/>
              </w:rPr>
              <w:t>条件</w:t>
            </w:r>
          </w:p>
        </w:tc>
        <w:tc>
          <w:tcPr>
            <w:tcW w:w="2207" w:type="dxa"/>
            <w:tcMar>
              <w:top w:w="75" w:type="dxa"/>
              <w:left w:w="75" w:type="dxa"/>
              <w:bottom w:w="75" w:type="dxa"/>
              <w:right w:w="75" w:type="dxa"/>
            </w:tcMar>
            <w:vAlign w:val="center"/>
          </w:tcPr>
          <w:p w14:paraId="4FD94979">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（1）具有独立承担民事责任的能力</w:t>
            </w:r>
          </w:p>
        </w:tc>
        <w:tc>
          <w:tcPr>
            <w:tcW w:w="5912" w:type="dxa"/>
            <w:tcMar>
              <w:top w:w="75" w:type="dxa"/>
              <w:left w:w="75" w:type="dxa"/>
              <w:bottom w:w="75" w:type="dxa"/>
              <w:right w:w="75" w:type="dxa"/>
            </w:tcMar>
            <w:vAlign w:val="center"/>
          </w:tcPr>
          <w:p w14:paraId="4AA3D0A3">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投标人营业执照（副本）或法人证书（副本）复印件；</w:t>
            </w:r>
          </w:p>
          <w:p w14:paraId="7ADD0823">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投标人法定代表人身份证明和法定代表人授权代表委托书；</w:t>
            </w:r>
          </w:p>
          <w:p w14:paraId="4A3B7295">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不具有独立法人的分公司、办事处等分支机构不能参加投标。</w:t>
            </w:r>
          </w:p>
        </w:tc>
      </w:tr>
      <w:tr w14:paraId="4562F20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414" w:hRule="atLeast"/>
          <w:tblCellSpacing w:w="0" w:type="dxa"/>
          <w:jc w:val="center"/>
        </w:trPr>
        <w:tc>
          <w:tcPr>
            <w:tcW w:w="675" w:type="dxa"/>
            <w:vMerge w:val="continue"/>
            <w:tcMar>
              <w:top w:w="75" w:type="dxa"/>
              <w:left w:w="75" w:type="dxa"/>
              <w:bottom w:w="75" w:type="dxa"/>
              <w:right w:w="75" w:type="dxa"/>
            </w:tcMar>
            <w:vAlign w:val="center"/>
          </w:tcPr>
          <w:p w14:paraId="586FDAB4">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p>
        </w:tc>
        <w:tc>
          <w:tcPr>
            <w:tcW w:w="2207" w:type="dxa"/>
            <w:tcMar>
              <w:top w:w="75" w:type="dxa"/>
              <w:left w:w="75" w:type="dxa"/>
              <w:bottom w:w="75" w:type="dxa"/>
              <w:right w:w="75" w:type="dxa"/>
            </w:tcMar>
            <w:vAlign w:val="center"/>
          </w:tcPr>
          <w:p w14:paraId="69689812">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（2）具有良好的商业信誉和健全的财务会计制度</w:t>
            </w:r>
          </w:p>
        </w:tc>
        <w:tc>
          <w:tcPr>
            <w:tcW w:w="5912" w:type="dxa"/>
            <w:tcMar>
              <w:top w:w="75" w:type="dxa"/>
              <w:left w:w="75" w:type="dxa"/>
              <w:bottom w:w="75" w:type="dxa"/>
              <w:right w:w="75" w:type="dxa"/>
            </w:tcMar>
            <w:vAlign w:val="center"/>
          </w:tcPr>
          <w:p w14:paraId="291187CB">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提供202</w:t>
            </w:r>
            <w:r>
              <w:rPr>
                <w:rFonts w:hint="eastAsia" w:ascii="Times New Roman" w:hAnsi="Times New Roman" w:eastAsia="方正仿宋_GBK" w:cs="Times New Roman"/>
                <w:color w:val="auto"/>
                <w:sz w:val="24"/>
                <w:highlight w:val="none"/>
                <w:lang w:val="en-US" w:eastAsia="zh-CN"/>
              </w:rPr>
              <w:t>3</w:t>
            </w:r>
            <w:r>
              <w:rPr>
                <w:rFonts w:hint="default" w:ascii="Times New Roman" w:hAnsi="Times New Roman" w:eastAsia="方正仿宋_GBK" w:cs="Times New Roman"/>
                <w:color w:val="auto"/>
                <w:sz w:val="24"/>
                <w:highlight w:val="none"/>
              </w:rPr>
              <w:t>年度以来的财务状况报告（表）复印件，本年度新成立的公司提供提交投标文件截止时间前一个月的财务状况报告（表）复印件。（新成立公司不足一个月的除外）</w:t>
            </w:r>
          </w:p>
        </w:tc>
      </w:tr>
      <w:tr w14:paraId="046B071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45" w:hRule="atLeast"/>
          <w:tblCellSpacing w:w="0" w:type="dxa"/>
          <w:jc w:val="center"/>
        </w:trPr>
        <w:tc>
          <w:tcPr>
            <w:tcW w:w="675" w:type="dxa"/>
            <w:vMerge w:val="continue"/>
            <w:tcMar>
              <w:top w:w="75" w:type="dxa"/>
              <w:left w:w="75" w:type="dxa"/>
              <w:bottom w:w="75" w:type="dxa"/>
              <w:right w:w="75" w:type="dxa"/>
            </w:tcMar>
            <w:vAlign w:val="center"/>
          </w:tcPr>
          <w:p w14:paraId="367A3855">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p>
        </w:tc>
        <w:tc>
          <w:tcPr>
            <w:tcW w:w="2207" w:type="dxa"/>
            <w:tcMar>
              <w:top w:w="75" w:type="dxa"/>
              <w:left w:w="75" w:type="dxa"/>
              <w:bottom w:w="75" w:type="dxa"/>
              <w:right w:w="75" w:type="dxa"/>
            </w:tcMar>
            <w:vAlign w:val="center"/>
          </w:tcPr>
          <w:p w14:paraId="237FB9D2">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（3）具有履行合同所必需的设备和专业技术能力</w:t>
            </w:r>
          </w:p>
        </w:tc>
        <w:tc>
          <w:tcPr>
            <w:tcW w:w="5912" w:type="dxa"/>
            <w:tcMar>
              <w:top w:w="75" w:type="dxa"/>
              <w:left w:w="75" w:type="dxa"/>
              <w:bottom w:w="75" w:type="dxa"/>
              <w:right w:w="75" w:type="dxa"/>
            </w:tcMar>
            <w:vAlign w:val="center"/>
          </w:tcPr>
          <w:p w14:paraId="04BD9AAA">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lang w:eastAsia="zh-CN"/>
              </w:rPr>
              <w:t>申报单位</w:t>
            </w:r>
            <w:r>
              <w:rPr>
                <w:rFonts w:hint="default" w:ascii="Times New Roman" w:hAnsi="Times New Roman" w:eastAsia="方正仿宋_GBK" w:cs="Times New Roman"/>
                <w:color w:val="auto"/>
                <w:sz w:val="24"/>
                <w:highlight w:val="none"/>
              </w:rPr>
              <w:t>提供书面声明。</w:t>
            </w:r>
          </w:p>
        </w:tc>
      </w:tr>
      <w:tr w14:paraId="70F3DF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45" w:hRule="atLeast"/>
          <w:tblCellSpacing w:w="0" w:type="dxa"/>
          <w:jc w:val="center"/>
        </w:trPr>
        <w:tc>
          <w:tcPr>
            <w:tcW w:w="675" w:type="dxa"/>
            <w:vMerge w:val="continue"/>
            <w:tcMar>
              <w:top w:w="75" w:type="dxa"/>
              <w:left w:w="75" w:type="dxa"/>
              <w:bottom w:w="75" w:type="dxa"/>
              <w:right w:w="75" w:type="dxa"/>
            </w:tcMar>
            <w:vAlign w:val="center"/>
          </w:tcPr>
          <w:p w14:paraId="63C38C27">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p>
        </w:tc>
        <w:tc>
          <w:tcPr>
            <w:tcW w:w="2207" w:type="dxa"/>
            <w:tcMar>
              <w:top w:w="75" w:type="dxa"/>
              <w:left w:w="75" w:type="dxa"/>
              <w:bottom w:w="75" w:type="dxa"/>
              <w:right w:w="75" w:type="dxa"/>
            </w:tcMar>
            <w:vAlign w:val="center"/>
          </w:tcPr>
          <w:p w14:paraId="7B662CD5">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（4）有依法缴纳税收和社会保障金的良好记录</w:t>
            </w:r>
          </w:p>
        </w:tc>
        <w:tc>
          <w:tcPr>
            <w:tcW w:w="5912" w:type="dxa"/>
            <w:tcMar>
              <w:top w:w="75" w:type="dxa"/>
              <w:left w:w="75" w:type="dxa"/>
              <w:bottom w:w="75" w:type="dxa"/>
              <w:right w:w="75" w:type="dxa"/>
            </w:tcMar>
            <w:vAlign w:val="center"/>
          </w:tcPr>
          <w:p w14:paraId="11A673ED">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税务登记证（副本）复印件和社会保险缴纳证明材料。</w:t>
            </w:r>
          </w:p>
        </w:tc>
      </w:tr>
      <w:tr w14:paraId="75E3C86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600" w:hRule="atLeast"/>
          <w:tblCellSpacing w:w="0" w:type="dxa"/>
          <w:jc w:val="center"/>
        </w:trPr>
        <w:tc>
          <w:tcPr>
            <w:tcW w:w="675" w:type="dxa"/>
            <w:vMerge w:val="continue"/>
            <w:tcMar>
              <w:top w:w="75" w:type="dxa"/>
              <w:left w:w="75" w:type="dxa"/>
              <w:bottom w:w="75" w:type="dxa"/>
              <w:right w:w="75" w:type="dxa"/>
            </w:tcMar>
            <w:vAlign w:val="center"/>
          </w:tcPr>
          <w:p w14:paraId="5090C78D">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p>
        </w:tc>
        <w:tc>
          <w:tcPr>
            <w:tcW w:w="2207" w:type="dxa"/>
            <w:tcMar>
              <w:top w:w="75" w:type="dxa"/>
              <w:left w:w="75" w:type="dxa"/>
              <w:bottom w:w="75" w:type="dxa"/>
              <w:right w:w="75" w:type="dxa"/>
            </w:tcMar>
            <w:vAlign w:val="center"/>
          </w:tcPr>
          <w:p w14:paraId="36CC7D51">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（5）参加采购活动前三年内，在经营活动中无不良诚信记录和重大违法记录</w:t>
            </w:r>
          </w:p>
        </w:tc>
        <w:tc>
          <w:tcPr>
            <w:tcW w:w="5912" w:type="dxa"/>
            <w:tcMar>
              <w:top w:w="75" w:type="dxa"/>
              <w:left w:w="75" w:type="dxa"/>
              <w:bottom w:w="75" w:type="dxa"/>
              <w:right w:w="75" w:type="dxa"/>
            </w:tcMar>
            <w:vAlign w:val="center"/>
          </w:tcPr>
          <w:p w14:paraId="23A3F606">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供应商应在“信用中国”网站（www．creditchina．gov．cn）或＂中国政府采购网（www．ccgp．gov．cn）等渠道查询信用记录，并下载信用信息报告加盖公司公章。对列入失信被执行人、重大税收违法案件当事人名单、政府采购严重违法失信行为记录名单的投标人将拒绝其参与政府采购活动。</w:t>
            </w:r>
          </w:p>
        </w:tc>
      </w:tr>
    </w:tbl>
    <w:p w14:paraId="634530A4">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val="en-US" w:eastAsia="zh-CN"/>
        </w:rPr>
      </w:pPr>
      <w:r>
        <w:rPr>
          <w:rFonts w:hint="default" w:ascii="Times New Roman" w:hAnsi="Times New Roman" w:eastAsia="方正仿宋_GBK" w:cs="Times New Roman"/>
          <w:color w:val="auto"/>
          <w:sz w:val="24"/>
          <w:highlight w:val="none"/>
          <w:lang w:val="en-US" w:eastAsia="zh-CN"/>
        </w:rPr>
        <w:t>注：申报单位按“多证合一”登记制度办理营业执照的，组织机构代码证和税务登记证（副本）以申报单位所提供的营业执照（副本）复印件为准。</w:t>
      </w:r>
    </w:p>
    <w:p w14:paraId="6C198584">
      <w:pPr>
        <w:pStyle w:val="3"/>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240" w:lineRule="auto"/>
        <w:ind w:right="0" w:rightChars="0" w:firstLine="640" w:firstLineChars="200"/>
        <w:jc w:val="left"/>
        <w:textAlignment w:val="auto"/>
        <w:outlineLvl w:val="9"/>
        <w:rPr>
          <w:rFonts w:hint="default" w:ascii="Times New Roman" w:hAnsi="Times New Roman" w:eastAsia="方正楷体_GBK" w:cs="Times New Roman"/>
          <w:kern w:val="2"/>
          <w:sz w:val="32"/>
          <w:szCs w:val="32"/>
          <w:lang w:val="en-US" w:eastAsia="zh-CN" w:bidi="ar-SA"/>
        </w:rPr>
      </w:pPr>
      <w:r>
        <w:rPr>
          <w:rFonts w:hint="default" w:ascii="Times New Roman" w:hAnsi="Times New Roman" w:eastAsia="方正楷体_GBK" w:cs="Times New Roman"/>
          <w:kern w:val="2"/>
          <w:sz w:val="32"/>
          <w:szCs w:val="32"/>
          <w:lang w:val="en-US" w:eastAsia="zh-CN" w:bidi="ar-SA"/>
        </w:rPr>
        <w:t>评审标准</w:t>
      </w:r>
    </w:p>
    <w:tbl>
      <w:tblPr>
        <w:tblStyle w:val="4"/>
        <w:tblW w:w="9167" w:type="dxa"/>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864"/>
        <w:gridCol w:w="1065"/>
        <w:gridCol w:w="681"/>
        <w:gridCol w:w="6557"/>
      </w:tblGrid>
      <w:tr w14:paraId="44BD04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blCellSpacing w:w="0" w:type="dxa"/>
          <w:jc w:val="center"/>
        </w:trPr>
        <w:tc>
          <w:tcPr>
            <w:tcW w:w="864" w:type="dxa"/>
            <w:tcMar>
              <w:top w:w="75" w:type="dxa"/>
              <w:left w:w="75" w:type="dxa"/>
              <w:bottom w:w="75" w:type="dxa"/>
              <w:right w:w="75" w:type="dxa"/>
            </w:tcMar>
            <w:vAlign w:val="center"/>
          </w:tcPr>
          <w:p w14:paraId="59EA8D8F">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leftChars="0" w:right="0" w:rightChars="0"/>
              <w:jc w:val="center"/>
              <w:textAlignment w:val="auto"/>
              <w:outlineLvl w:val="9"/>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序号</w:t>
            </w:r>
          </w:p>
        </w:tc>
        <w:tc>
          <w:tcPr>
            <w:tcW w:w="1065" w:type="dxa"/>
            <w:tcMar>
              <w:top w:w="75" w:type="dxa"/>
              <w:left w:w="75" w:type="dxa"/>
              <w:bottom w:w="75" w:type="dxa"/>
              <w:right w:w="75" w:type="dxa"/>
            </w:tcMar>
            <w:vAlign w:val="center"/>
          </w:tcPr>
          <w:p w14:paraId="1D349854">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leftChars="0" w:right="0" w:rightChars="0"/>
              <w:jc w:val="center"/>
              <w:textAlignment w:val="auto"/>
              <w:outlineLvl w:val="9"/>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评分</w:t>
            </w:r>
            <w:r>
              <w:rPr>
                <w:rFonts w:hint="default" w:ascii="Times New Roman" w:hAnsi="Times New Roman" w:eastAsia="仿宋_GB2312" w:cs="Times New Roman"/>
                <w:b/>
                <w:bCs/>
                <w:sz w:val="28"/>
                <w:szCs w:val="28"/>
                <w:lang w:val="en-US" w:eastAsia="zh-CN"/>
              </w:rPr>
              <w:t xml:space="preserve">  </w:t>
            </w:r>
            <w:r>
              <w:rPr>
                <w:rFonts w:hint="default" w:ascii="Times New Roman" w:hAnsi="Times New Roman" w:eastAsia="仿宋_GB2312" w:cs="Times New Roman"/>
                <w:b/>
                <w:bCs/>
                <w:sz w:val="28"/>
                <w:szCs w:val="28"/>
              </w:rPr>
              <w:t>因素</w:t>
            </w:r>
          </w:p>
        </w:tc>
        <w:tc>
          <w:tcPr>
            <w:tcW w:w="681" w:type="dxa"/>
            <w:tcMar>
              <w:top w:w="75" w:type="dxa"/>
              <w:left w:w="75" w:type="dxa"/>
              <w:bottom w:w="75" w:type="dxa"/>
              <w:right w:w="75" w:type="dxa"/>
            </w:tcMar>
            <w:vAlign w:val="center"/>
          </w:tcPr>
          <w:p w14:paraId="4B41CC94">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leftChars="0" w:right="0" w:rightChars="0"/>
              <w:jc w:val="center"/>
              <w:textAlignment w:val="auto"/>
              <w:outlineLvl w:val="9"/>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分值</w:t>
            </w:r>
          </w:p>
        </w:tc>
        <w:tc>
          <w:tcPr>
            <w:tcW w:w="6557" w:type="dxa"/>
            <w:tcMar>
              <w:top w:w="75" w:type="dxa"/>
              <w:left w:w="75" w:type="dxa"/>
              <w:bottom w:w="75" w:type="dxa"/>
              <w:right w:w="75" w:type="dxa"/>
            </w:tcMar>
            <w:vAlign w:val="center"/>
          </w:tcPr>
          <w:p w14:paraId="02847295">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leftChars="0" w:right="0" w:rightChars="0"/>
              <w:jc w:val="center"/>
              <w:textAlignment w:val="auto"/>
              <w:outlineLvl w:val="9"/>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评分标准</w:t>
            </w:r>
          </w:p>
        </w:tc>
      </w:tr>
      <w:tr w14:paraId="39F1D99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63" w:hRule="atLeast"/>
          <w:tblCellSpacing w:w="0" w:type="dxa"/>
          <w:jc w:val="center"/>
        </w:trPr>
        <w:tc>
          <w:tcPr>
            <w:tcW w:w="864" w:type="dxa"/>
            <w:tcMar>
              <w:top w:w="75" w:type="dxa"/>
              <w:left w:w="75" w:type="dxa"/>
              <w:bottom w:w="75" w:type="dxa"/>
              <w:right w:w="75" w:type="dxa"/>
            </w:tcMar>
            <w:vAlign w:val="center"/>
          </w:tcPr>
          <w:p w14:paraId="609C2EBD">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w:t>
            </w:r>
          </w:p>
        </w:tc>
        <w:tc>
          <w:tcPr>
            <w:tcW w:w="1065" w:type="dxa"/>
            <w:tcMar>
              <w:top w:w="75" w:type="dxa"/>
              <w:left w:w="75" w:type="dxa"/>
              <w:bottom w:w="75" w:type="dxa"/>
              <w:right w:w="75" w:type="dxa"/>
            </w:tcMar>
            <w:vAlign w:val="center"/>
          </w:tcPr>
          <w:p w14:paraId="79051542">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eastAsia="zh-CN"/>
              </w:rPr>
              <w:t>评估</w:t>
            </w:r>
            <w:r>
              <w:rPr>
                <w:rFonts w:hint="default" w:ascii="Times New Roman" w:hAnsi="Times New Roman" w:eastAsia="方正仿宋_GBK" w:cs="Times New Roman"/>
                <w:sz w:val="24"/>
                <w:szCs w:val="24"/>
                <w:lang w:val="en-US" w:eastAsia="zh-CN"/>
              </w:rPr>
              <w:t xml:space="preserve">  </w:t>
            </w:r>
          </w:p>
          <w:p w14:paraId="0B9C478E">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方案</w:t>
            </w:r>
          </w:p>
        </w:tc>
        <w:tc>
          <w:tcPr>
            <w:tcW w:w="681" w:type="dxa"/>
            <w:tcMar>
              <w:top w:w="75" w:type="dxa"/>
              <w:left w:w="75" w:type="dxa"/>
              <w:bottom w:w="75" w:type="dxa"/>
              <w:right w:w="75" w:type="dxa"/>
            </w:tcMar>
            <w:vAlign w:val="center"/>
          </w:tcPr>
          <w:p w14:paraId="0E5DB6A4">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50</w:t>
            </w:r>
          </w:p>
        </w:tc>
        <w:tc>
          <w:tcPr>
            <w:tcW w:w="6557" w:type="dxa"/>
            <w:tcMar>
              <w:top w:w="75" w:type="dxa"/>
              <w:left w:w="75" w:type="dxa"/>
              <w:bottom w:w="75" w:type="dxa"/>
              <w:right w:w="75" w:type="dxa"/>
            </w:tcMar>
            <w:vAlign w:val="center"/>
          </w:tcPr>
          <w:p w14:paraId="0F6F7B30">
            <w:pPr>
              <w:keepNext w:val="0"/>
              <w:keepLines w:val="0"/>
              <w:pageBreakBefore w:val="0"/>
              <w:widowControl/>
              <w:kinsoku/>
              <w:wordWrap/>
              <w:overflowPunct/>
              <w:topLinePunct w:val="0"/>
              <w:autoSpaceDE/>
              <w:autoSpaceDN/>
              <w:bidi w:val="0"/>
              <w:adjustRightInd/>
              <w:snapToGrid/>
              <w:spacing w:line="320" w:lineRule="exact"/>
              <w:ind w:left="0" w:leftChars="0" w:right="0" w:rightChars="0"/>
              <w:jc w:val="both"/>
              <w:textAlignment w:val="auto"/>
              <w:outlineLvl w:val="9"/>
              <w:rPr>
                <w:rFonts w:hint="default" w:ascii="Times New Roman" w:hAnsi="Times New Roman" w:eastAsia="方正仿宋_GBK" w:cs="Times New Roman"/>
                <w:kern w:val="0"/>
                <w:sz w:val="24"/>
                <w:szCs w:val="24"/>
                <w:lang w:val="en-US" w:eastAsia="zh-CN" w:bidi="ar"/>
              </w:rPr>
            </w:pPr>
            <w:r>
              <w:rPr>
                <w:rFonts w:hint="default" w:ascii="Times New Roman" w:hAnsi="Times New Roman" w:eastAsia="方正仿宋_GBK" w:cs="Times New Roman"/>
                <w:kern w:val="0"/>
                <w:sz w:val="24"/>
                <w:szCs w:val="24"/>
                <w:lang w:val="en-US" w:eastAsia="zh-CN" w:bidi="ar"/>
              </w:rPr>
              <w:t>1、项目人员配置基本情况，满分20分。（1）能够组建1-3个评估小组，每个评估小组不得少于</w:t>
            </w:r>
            <w:r>
              <w:rPr>
                <w:rFonts w:hint="eastAsia" w:ascii="Times New Roman" w:hAnsi="Times New Roman" w:eastAsia="方正仿宋_GBK" w:cs="Times New Roman"/>
                <w:kern w:val="0"/>
                <w:sz w:val="24"/>
                <w:szCs w:val="24"/>
                <w:lang w:val="en-US" w:eastAsia="zh-CN" w:bidi="ar"/>
              </w:rPr>
              <w:t>2</w:t>
            </w:r>
            <w:r>
              <w:rPr>
                <w:rFonts w:hint="default" w:ascii="Times New Roman" w:hAnsi="Times New Roman" w:eastAsia="方正仿宋_GBK" w:cs="Times New Roman"/>
                <w:kern w:val="0"/>
                <w:sz w:val="24"/>
                <w:szCs w:val="24"/>
                <w:lang w:val="en-US" w:eastAsia="zh-CN" w:bidi="ar"/>
              </w:rPr>
              <w:t>人，且应当包含至少1名行业专家及1名具有会计师执业资格的人员。能够组建3个小组的得8分，2个小组的得6分，1个小组的得4分。（2）项目负责人具有五年以上从业经验，有储备等政府专项资金项目审计、绩效评价、评估等经验得8分；具有三年以上从业经验，有储备等项目审计、绩效评价、评估等经验得6分；具有一年以上从业经验，有储备等项目审计、绩效评价、评估等经验得4分。（3）项目人员有储备等项目审计、绩效评价、评估经验的每人增加1分，最多4分。</w:t>
            </w:r>
          </w:p>
          <w:p w14:paraId="3F938CB1">
            <w:pPr>
              <w:keepNext w:val="0"/>
              <w:keepLines w:val="0"/>
              <w:pageBreakBefore w:val="0"/>
              <w:widowControl/>
              <w:kinsoku/>
              <w:wordWrap/>
              <w:overflowPunct/>
              <w:topLinePunct w:val="0"/>
              <w:autoSpaceDE/>
              <w:autoSpaceDN/>
              <w:bidi w:val="0"/>
              <w:adjustRightInd/>
              <w:snapToGrid/>
              <w:spacing w:line="320" w:lineRule="exact"/>
              <w:ind w:left="0" w:leftChars="0" w:right="0" w:rightChars="0"/>
              <w:jc w:val="both"/>
              <w:textAlignment w:val="auto"/>
              <w:outlineLvl w:val="9"/>
              <w:rPr>
                <w:rFonts w:hint="default" w:ascii="Times New Roman" w:hAnsi="Times New Roman" w:eastAsia="方正仿宋_GBK" w:cs="Times New Roman"/>
                <w:kern w:val="0"/>
                <w:sz w:val="24"/>
                <w:szCs w:val="24"/>
                <w:lang w:val="en-US" w:eastAsia="zh-CN" w:bidi="ar"/>
              </w:rPr>
            </w:pPr>
            <w:r>
              <w:rPr>
                <w:rFonts w:hint="default" w:ascii="Times New Roman" w:hAnsi="Times New Roman" w:eastAsia="方正仿宋_GBK" w:cs="Times New Roman"/>
                <w:kern w:val="0"/>
                <w:sz w:val="24"/>
                <w:szCs w:val="24"/>
                <w:lang w:val="en-US" w:eastAsia="zh-CN" w:bidi="ar"/>
              </w:rPr>
              <w:t>2.项目评估总体思路，满分20分。评估流程表达清晰，工作方案体现对政府项目评估流程及工作方式熟悉，质量管理责任清晰，对储备项目评估有详细的评分要点。优不超过20分，良不超过15分，一般不超过10分，差或未提供本项内容0分。</w:t>
            </w:r>
          </w:p>
          <w:p w14:paraId="32D02556">
            <w:pPr>
              <w:keepNext w:val="0"/>
              <w:keepLines w:val="0"/>
              <w:pageBreakBefore w:val="0"/>
              <w:widowControl/>
              <w:kinsoku/>
              <w:wordWrap/>
              <w:overflowPunct/>
              <w:topLinePunct w:val="0"/>
              <w:autoSpaceDE/>
              <w:autoSpaceDN/>
              <w:bidi w:val="0"/>
              <w:adjustRightInd/>
              <w:snapToGrid/>
              <w:spacing w:line="320" w:lineRule="exact"/>
              <w:ind w:left="0" w:leftChars="0" w:right="0" w:rightChars="0"/>
              <w:jc w:val="both"/>
              <w:textAlignment w:val="auto"/>
              <w:outlineLvl w:val="9"/>
              <w:rPr>
                <w:rFonts w:hint="default" w:ascii="Times New Roman" w:hAnsi="Times New Roman" w:eastAsia="方正仿宋_GBK" w:cs="Times New Roman"/>
                <w:sz w:val="24"/>
                <w:szCs w:val="24"/>
              </w:rPr>
            </w:pPr>
            <w:r>
              <w:rPr>
                <w:rFonts w:hint="default" w:ascii="Times New Roman" w:hAnsi="Times New Roman" w:eastAsia="方正仿宋_GBK" w:cs="Times New Roman"/>
                <w:kern w:val="0"/>
                <w:sz w:val="24"/>
                <w:szCs w:val="24"/>
                <w:lang w:val="en-US" w:eastAsia="zh-CN" w:bidi="ar"/>
              </w:rPr>
              <w:t>3、项目时间安排情况，满分10分。有详细的进度计划，时间安排合理，能按规定时间完成评估，优得10分，良得5分，一般得2分，差或未提供本项内容0分。</w:t>
            </w:r>
          </w:p>
        </w:tc>
      </w:tr>
      <w:tr w14:paraId="19DEBE0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blCellSpacing w:w="0" w:type="dxa"/>
          <w:jc w:val="center"/>
        </w:trPr>
        <w:tc>
          <w:tcPr>
            <w:tcW w:w="864" w:type="dxa"/>
            <w:tcMar>
              <w:top w:w="75" w:type="dxa"/>
              <w:left w:w="75" w:type="dxa"/>
              <w:bottom w:w="75" w:type="dxa"/>
              <w:right w:w="75" w:type="dxa"/>
            </w:tcMar>
            <w:vAlign w:val="center"/>
          </w:tcPr>
          <w:p w14:paraId="41817343">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2</w:t>
            </w:r>
          </w:p>
        </w:tc>
        <w:tc>
          <w:tcPr>
            <w:tcW w:w="1065" w:type="dxa"/>
            <w:tcMar>
              <w:top w:w="75" w:type="dxa"/>
              <w:left w:w="75" w:type="dxa"/>
              <w:bottom w:w="75" w:type="dxa"/>
              <w:right w:w="75" w:type="dxa"/>
            </w:tcMar>
            <w:vAlign w:val="center"/>
          </w:tcPr>
          <w:p w14:paraId="353FF19B">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项目</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lang w:eastAsia="zh-CN"/>
              </w:rPr>
              <w:t>经验</w:t>
            </w:r>
          </w:p>
        </w:tc>
        <w:tc>
          <w:tcPr>
            <w:tcW w:w="681" w:type="dxa"/>
            <w:tcMar>
              <w:top w:w="75" w:type="dxa"/>
              <w:left w:w="75" w:type="dxa"/>
              <w:bottom w:w="75" w:type="dxa"/>
              <w:right w:w="75" w:type="dxa"/>
            </w:tcMar>
            <w:vAlign w:val="center"/>
          </w:tcPr>
          <w:p w14:paraId="50FABA50">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30</w:t>
            </w:r>
          </w:p>
        </w:tc>
        <w:tc>
          <w:tcPr>
            <w:tcW w:w="6557" w:type="dxa"/>
            <w:tcMar>
              <w:top w:w="75" w:type="dxa"/>
              <w:left w:w="75" w:type="dxa"/>
              <w:bottom w:w="75" w:type="dxa"/>
              <w:right w:w="75" w:type="dxa"/>
            </w:tcMar>
            <w:vAlign w:val="center"/>
          </w:tcPr>
          <w:p w14:paraId="0EA05CFF">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outlineLvl w:val="9"/>
              <w:rPr>
                <w:rFonts w:hint="default" w:ascii="Times New Roman" w:hAnsi="Times New Roman" w:eastAsia="方正仿宋_GBK" w:cs="Times New Roman"/>
                <w:kern w:val="0"/>
                <w:sz w:val="24"/>
                <w:szCs w:val="24"/>
                <w:lang w:val="en-US" w:eastAsia="zh-CN" w:bidi="ar"/>
              </w:rPr>
            </w:pPr>
            <w:r>
              <w:rPr>
                <w:rFonts w:hint="default" w:ascii="Times New Roman" w:hAnsi="Times New Roman" w:eastAsia="方正仿宋_GBK" w:cs="Times New Roman"/>
                <w:kern w:val="0"/>
                <w:sz w:val="24"/>
                <w:szCs w:val="24"/>
                <w:lang w:val="en-US" w:eastAsia="zh-CN" w:bidi="ar"/>
              </w:rPr>
              <w:t>近五年具有储备等项目审计、绩效评价、评估，1个项目经验得</w:t>
            </w:r>
            <w:r>
              <w:rPr>
                <w:rFonts w:hint="eastAsia" w:ascii="Times New Roman" w:hAnsi="Times New Roman" w:eastAsia="方正仿宋_GBK" w:cs="Times New Roman"/>
                <w:kern w:val="0"/>
                <w:sz w:val="24"/>
                <w:szCs w:val="24"/>
                <w:lang w:val="en-US" w:eastAsia="zh-CN" w:bidi="ar"/>
              </w:rPr>
              <w:t>5</w:t>
            </w:r>
            <w:r>
              <w:rPr>
                <w:rFonts w:hint="default" w:ascii="Times New Roman" w:hAnsi="Times New Roman" w:eastAsia="方正仿宋_GBK" w:cs="Times New Roman"/>
                <w:kern w:val="0"/>
                <w:sz w:val="24"/>
                <w:szCs w:val="24"/>
                <w:lang w:val="en-US" w:eastAsia="zh-CN" w:bidi="ar"/>
              </w:rPr>
              <w:t>分，满分30分。</w:t>
            </w:r>
          </w:p>
        </w:tc>
      </w:tr>
      <w:tr w14:paraId="5189C84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blCellSpacing w:w="0" w:type="dxa"/>
          <w:jc w:val="center"/>
        </w:trPr>
        <w:tc>
          <w:tcPr>
            <w:tcW w:w="864" w:type="dxa"/>
            <w:tcMar>
              <w:top w:w="75" w:type="dxa"/>
              <w:left w:w="75" w:type="dxa"/>
              <w:bottom w:w="75" w:type="dxa"/>
              <w:right w:w="75" w:type="dxa"/>
            </w:tcMar>
            <w:vAlign w:val="center"/>
          </w:tcPr>
          <w:p w14:paraId="51D3E9D1">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3</w:t>
            </w:r>
          </w:p>
        </w:tc>
        <w:tc>
          <w:tcPr>
            <w:tcW w:w="1065" w:type="dxa"/>
            <w:tcMar>
              <w:top w:w="75" w:type="dxa"/>
              <w:left w:w="75" w:type="dxa"/>
              <w:bottom w:w="75" w:type="dxa"/>
              <w:right w:w="75" w:type="dxa"/>
            </w:tcMar>
            <w:vAlign w:val="center"/>
          </w:tcPr>
          <w:p w14:paraId="3738403D">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投标</w:t>
            </w:r>
            <w:r>
              <w:rPr>
                <w:rFonts w:hint="default" w:ascii="Times New Roman" w:hAnsi="Times New Roman" w:eastAsia="方正仿宋_GBK" w:cs="Times New Roman"/>
                <w:sz w:val="24"/>
                <w:szCs w:val="24"/>
                <w:lang w:val="en-US" w:eastAsia="zh-CN"/>
              </w:rPr>
              <w:t xml:space="preserve">  </w:t>
            </w:r>
          </w:p>
          <w:p w14:paraId="6C9CB2DC">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报价</w:t>
            </w:r>
          </w:p>
        </w:tc>
        <w:tc>
          <w:tcPr>
            <w:tcW w:w="681" w:type="dxa"/>
            <w:tcMar>
              <w:top w:w="75" w:type="dxa"/>
              <w:left w:w="75" w:type="dxa"/>
              <w:bottom w:w="75" w:type="dxa"/>
              <w:right w:w="75" w:type="dxa"/>
            </w:tcMar>
            <w:vAlign w:val="center"/>
          </w:tcPr>
          <w:p w14:paraId="221406CE">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center"/>
              <w:textAlignment w:val="auto"/>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20</w:t>
            </w:r>
          </w:p>
        </w:tc>
        <w:tc>
          <w:tcPr>
            <w:tcW w:w="6557" w:type="dxa"/>
            <w:tcMar>
              <w:top w:w="75" w:type="dxa"/>
              <w:left w:w="75" w:type="dxa"/>
              <w:bottom w:w="75" w:type="dxa"/>
              <w:right w:w="75" w:type="dxa"/>
            </w:tcMar>
            <w:vAlign w:val="center"/>
          </w:tcPr>
          <w:p w14:paraId="2CB47093">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outlineLvl w:val="9"/>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kern w:val="0"/>
                <w:sz w:val="24"/>
                <w:szCs w:val="24"/>
                <w:lang w:val="en-US" w:eastAsia="zh-CN" w:bidi="ar"/>
              </w:rPr>
              <w:t>满足资格性、符合性要求且最后报价最低的供应商的价格为基准价，其价格分为满分。其他供应商的价格分统一按照下列公式计算：报价得分=（基准价/报价）×20</w:t>
            </w:r>
          </w:p>
        </w:tc>
      </w:tr>
    </w:tbl>
    <w:p w14:paraId="129FB92C">
      <w:pPr>
        <w:keepNext w:val="0"/>
        <w:keepLines w:val="0"/>
        <w:pageBreakBefore w:val="0"/>
        <w:kinsoku/>
        <w:wordWrap/>
        <w:overflowPunct/>
        <w:topLinePunct w:val="0"/>
        <w:autoSpaceDE/>
        <w:autoSpaceDN/>
        <w:bidi w:val="0"/>
        <w:adjustRightInd/>
        <w:spacing w:line="300" w:lineRule="exact"/>
        <w:textAlignment w:val="auto"/>
        <w:rPr>
          <w:rFonts w:hint="default" w:ascii="Times New Roman" w:hAnsi="Times New Roman" w:eastAsia="方正仿宋_GBK" w:cs="Times New Roman"/>
          <w:color w:val="auto"/>
          <w:sz w:val="24"/>
          <w:highlight w:val="none"/>
          <w:lang w:val="en-US" w:eastAsia="zh-CN"/>
        </w:rPr>
      </w:pPr>
      <w:r>
        <w:rPr>
          <w:rFonts w:hint="default" w:ascii="Times New Roman" w:hAnsi="Times New Roman" w:eastAsia="方正仿宋_GBK" w:cs="Times New Roman"/>
          <w:color w:val="auto"/>
          <w:sz w:val="24"/>
          <w:highlight w:val="none"/>
          <w:lang w:val="en-US" w:eastAsia="zh-CN"/>
        </w:rPr>
        <w:t>注：采购方认为投标人的报价明显低于其他通过符合性审查投标人的报价，有可能影响产品质量或者不能诚信履约的，应当要求其在合理的时间内提供书面说明，必要时提交相关证明材料；投标人不能证明其报价合理性的，采购方应当将其作为无效投标处理。</w:t>
      </w:r>
    </w:p>
    <w:p w14:paraId="68F6385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960" w:firstLineChars="3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lang w:eastAsia="zh-CN"/>
        </w:rPr>
        <w:t>三、综合评分法。</w:t>
      </w:r>
      <w:r>
        <w:rPr>
          <w:rFonts w:hint="default" w:ascii="Times New Roman" w:hAnsi="Times New Roman" w:eastAsia="方正仿宋_GBK" w:cs="Times New Roman"/>
          <w:kern w:val="0"/>
          <w:sz w:val="32"/>
          <w:szCs w:val="32"/>
          <w:lang w:val="en-US" w:eastAsia="zh-CN" w:bidi="ar"/>
        </w:rPr>
        <w:t>满分100分，采购人对申报单位的项目实施方案和报价进行评分，得分最高的为中标候选人。若综合得分相同的，按评估方案部分评分由高到低顺序排列；若综合得分且方案部分评分相同的，按投标报价由低到高顺序排列；若综合得分、评估方案、投标报价部分评分均相同的，随机抽取一家的方式确定中选人</w:t>
      </w:r>
      <w:r>
        <w:rPr>
          <w:rFonts w:hint="eastAsia" w:ascii="Times New Roman" w:hAnsi="Times New Roman" w:eastAsia="方正仿宋_GBK" w:cs="Times New Roman"/>
          <w:kern w:val="0"/>
          <w:sz w:val="32"/>
          <w:szCs w:val="32"/>
          <w:lang w:val="en-US" w:eastAsia="zh-CN" w:bidi="ar"/>
        </w:rPr>
        <w:t>。</w:t>
      </w:r>
    </w:p>
    <w:p w14:paraId="5D337938">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EF4E55D"/>
    <w:multiLevelType w:val="singleLevel"/>
    <w:tmpl w:val="7EF4E55D"/>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BjYWU4ZjgyYTY3NWY0MjIwMzJkOGNhODc4YTdjMWQifQ=="/>
  </w:docVars>
  <w:rsids>
    <w:rsidRoot w:val="763964D2"/>
    <w:rsid w:val="763964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目录 11"/>
    <w:next w:val="1"/>
    <w:qFormat/>
    <w:uiPriority w:val="0"/>
    <w:pPr>
      <w:widowControl w:val="0"/>
      <w:tabs>
        <w:tab w:val="right" w:leader="dot" w:pos="8721"/>
      </w:tabs>
      <w:spacing w:line="360" w:lineRule="auto"/>
      <w:ind w:firstLine="562" w:firstLineChars="200"/>
      <w:jc w:val="both"/>
    </w:pPr>
    <w:rPr>
      <w:rFonts w:ascii="宋体" w:hAnsi="宋体" w:eastAsia="宋体" w:cs="宋体"/>
      <w:color w:val="FF0000"/>
      <w:kern w:val="2"/>
      <w:sz w:val="21"/>
      <w:szCs w:val="21"/>
      <w:lang w:val="en-US" w:eastAsia="zh-CN" w:bidi="ar-SA"/>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6">
    <w:name w:val="Default"/>
    <w:next w:val="1"/>
    <w:qFormat/>
    <w:uiPriority w:val="0"/>
    <w:pPr>
      <w:autoSpaceDE w:val="0"/>
      <w:autoSpaceDN w:val="0"/>
      <w:adjustRightInd w:val="0"/>
    </w:pPr>
    <w:rPr>
      <w:rFonts w:ascii="Arial" w:hAnsi="Arial" w:eastAsia="宋体" w:cs="Arial"/>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2024-10-30T02:44:00Z</dcterms:created>
  <dc:creator>asus</dc:creator>
  <cp:lastModifiedBy>asus</cp:lastModifiedBy>
  <dcterms:modified xsi:type="dcterms:W3CDTF">2024-10-30T02:45:21Z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421BDA30E99E4C64BB9C2BB8423D337E_11</vt:lpwstr>
  </property>
</Properties>
</file>