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61F739">
      <w:pPr>
        <w:bidi w:val="0"/>
        <w:ind w:left="0" w:leftChars="0" w:firstLine="0" w:firstLineChars="0"/>
        <w:outlineLvl w:val="0"/>
        <w:rPr>
          <w:rFonts w:hint="default" w:ascii="Times New Roman" w:hAnsi="Times New Roman" w:eastAsia="方正仿宋_GBK" w:cs="Times New Roman"/>
          <w:b w:val="0"/>
          <w:bCs w:val="0"/>
          <w:spacing w:val="-8"/>
        </w:rPr>
      </w:pPr>
      <w:r>
        <w:rPr>
          <w:rFonts w:hint="default" w:ascii="Times New Roman" w:hAnsi="Times New Roman" w:eastAsia="方正仿宋_GBK" w:cs="Times New Roman"/>
          <w:b w:val="0"/>
          <w:bCs w:val="0"/>
          <w:spacing w:val="-8"/>
        </w:rPr>
        <w:t>附件</w:t>
      </w:r>
      <w:r>
        <w:rPr>
          <w:rFonts w:hint="default" w:ascii="Times New Roman" w:hAnsi="Times New Roman" w:eastAsia="方正仿宋_GBK" w:cs="Times New Roman"/>
          <w:b w:val="0"/>
          <w:bCs w:val="0"/>
          <w:spacing w:val="21"/>
        </w:rPr>
        <w:t xml:space="preserve"> </w:t>
      </w:r>
      <w:r>
        <w:rPr>
          <w:rFonts w:hint="default" w:ascii="Times New Roman" w:hAnsi="Times New Roman" w:eastAsia="方正仿宋_GBK" w:cs="Times New Roman"/>
          <w:b w:val="0"/>
          <w:bCs w:val="0"/>
          <w:spacing w:val="-8"/>
        </w:rPr>
        <w:t>1</w:t>
      </w:r>
    </w:p>
    <w:p w14:paraId="2DD0DE7A">
      <w:pPr>
        <w:bidi w:val="0"/>
        <w:ind w:left="0" w:leftChars="0" w:firstLine="0" w:firstLineChars="0"/>
        <w:jc w:val="center"/>
        <w:rPr>
          <w:rFonts w:hint="eastAsia" w:ascii="方正黑体_GBK" w:hAnsi="方正黑体_GBK" w:eastAsia="方正黑体_GBK" w:cs="方正黑体_GBK"/>
          <w:b w:val="0"/>
          <w:bCs w:val="0"/>
          <w:snapToGrid w:val="0"/>
          <w:color w:val="auto"/>
          <w:kern w:val="44"/>
          <w:sz w:val="32"/>
          <w:szCs w:val="32"/>
          <w:lang w:val="en-US" w:eastAsia="zh-CN" w:bidi="ar-SA"/>
        </w:rPr>
      </w:pPr>
      <w:r>
        <w:rPr>
          <w:rFonts w:hint="eastAsia" w:ascii="方正黑体_GBK" w:hAnsi="方正黑体_GBK" w:eastAsia="方正黑体_GBK" w:cs="方正黑体_GBK"/>
          <w:b w:val="0"/>
          <w:bCs w:val="0"/>
          <w:snapToGrid w:val="0"/>
          <w:color w:val="auto"/>
          <w:kern w:val="44"/>
          <w:sz w:val="32"/>
          <w:szCs w:val="32"/>
          <w:lang w:val="en-US" w:eastAsia="zh-CN" w:bidi="ar-SA"/>
        </w:rPr>
        <w:t>评审标准</w:t>
      </w:r>
    </w:p>
    <w:tbl>
      <w:tblPr>
        <w:tblStyle w:val="6"/>
        <w:tblW w:w="5068"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452"/>
        <w:gridCol w:w="1193"/>
        <w:gridCol w:w="1246"/>
        <w:gridCol w:w="710"/>
        <w:gridCol w:w="4824"/>
      </w:tblGrid>
      <w:tr w14:paraId="4328A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3" w:hRule="atLeast"/>
          <w:jc w:val="center"/>
        </w:trPr>
        <w:tc>
          <w:tcPr>
            <w:tcW w:w="268" w:type="pct"/>
            <w:vAlign w:val="center"/>
          </w:tcPr>
          <w:p w14:paraId="1545E89D">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b/>
                <w:bCs/>
              </w:rPr>
            </w:pPr>
            <w:r>
              <w:rPr>
                <w:b/>
                <w:bCs/>
              </w:rPr>
              <w:t>序号</w:t>
            </w:r>
          </w:p>
        </w:tc>
        <w:tc>
          <w:tcPr>
            <w:tcW w:w="708" w:type="pct"/>
            <w:vAlign w:val="center"/>
          </w:tcPr>
          <w:p w14:paraId="06041737">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b/>
                <w:bCs/>
              </w:rPr>
            </w:pPr>
            <w:r>
              <w:rPr>
                <w:rFonts w:hint="eastAsia" w:ascii="宋体" w:hAnsi="宋体" w:eastAsia="宋体" w:cs="宋体"/>
                <w:b/>
                <w:bCs/>
              </w:rPr>
              <w:t>评分权重</w:t>
            </w:r>
          </w:p>
        </w:tc>
        <w:tc>
          <w:tcPr>
            <w:tcW w:w="739" w:type="pct"/>
            <w:vAlign w:val="center"/>
          </w:tcPr>
          <w:p w14:paraId="52886A6E">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b/>
                <w:bCs/>
              </w:rPr>
            </w:pPr>
            <w:r>
              <w:rPr>
                <w:b/>
                <w:bCs/>
              </w:rPr>
              <w:t>评分因素及权重</w:t>
            </w:r>
          </w:p>
        </w:tc>
        <w:tc>
          <w:tcPr>
            <w:tcW w:w="421" w:type="pct"/>
            <w:vAlign w:val="center"/>
          </w:tcPr>
          <w:p w14:paraId="3DF72AFB">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b/>
                <w:bCs/>
              </w:rPr>
            </w:pPr>
            <w:r>
              <w:rPr>
                <w:b/>
                <w:bCs/>
              </w:rPr>
              <w:t>分值</w:t>
            </w:r>
          </w:p>
        </w:tc>
        <w:tc>
          <w:tcPr>
            <w:tcW w:w="2862" w:type="pct"/>
            <w:vAlign w:val="center"/>
          </w:tcPr>
          <w:p w14:paraId="6B0D378D">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b/>
                <w:bCs/>
              </w:rPr>
            </w:pPr>
            <w:r>
              <w:rPr>
                <w:b/>
                <w:bCs/>
              </w:rPr>
              <w:t>评分标准</w:t>
            </w:r>
          </w:p>
        </w:tc>
      </w:tr>
      <w:tr w14:paraId="55F33C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1" w:hRule="atLeast"/>
          <w:jc w:val="center"/>
        </w:trPr>
        <w:tc>
          <w:tcPr>
            <w:tcW w:w="268" w:type="pct"/>
            <w:vAlign w:val="center"/>
          </w:tcPr>
          <w:p w14:paraId="75D6FA7A">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1</w:t>
            </w:r>
          </w:p>
        </w:tc>
        <w:tc>
          <w:tcPr>
            <w:tcW w:w="708" w:type="pct"/>
            <w:vAlign w:val="center"/>
          </w:tcPr>
          <w:p w14:paraId="79E29770">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rPr>
                <w:rFonts w:hint="eastAsia"/>
              </w:rPr>
              <w:t>经济部分</w:t>
            </w:r>
            <w:r>
              <w:rPr>
                <w:rFonts w:hint="eastAsia"/>
                <w:lang w:val="en-US" w:eastAsia="zh-CN"/>
              </w:rPr>
              <w:t>10</w:t>
            </w:r>
            <w:r>
              <w:rPr>
                <w:rFonts w:hint="eastAsia"/>
              </w:rPr>
              <w:t>%</w:t>
            </w:r>
          </w:p>
        </w:tc>
        <w:tc>
          <w:tcPr>
            <w:tcW w:w="739" w:type="pct"/>
            <w:vAlign w:val="center"/>
          </w:tcPr>
          <w:p w14:paraId="1539926A">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项目报价10%</w:t>
            </w:r>
          </w:p>
        </w:tc>
        <w:tc>
          <w:tcPr>
            <w:tcW w:w="421" w:type="pct"/>
            <w:vAlign w:val="center"/>
          </w:tcPr>
          <w:p w14:paraId="289CAA10">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10分</w:t>
            </w:r>
          </w:p>
        </w:tc>
        <w:tc>
          <w:tcPr>
            <w:tcW w:w="2862" w:type="pct"/>
            <w:vAlign w:val="center"/>
          </w:tcPr>
          <w:p w14:paraId="31B2D7D7">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left"/>
              <w:textAlignment w:val="baseline"/>
              <w:rPr>
                <w:sz w:val="24"/>
                <w:szCs w:val="24"/>
              </w:rPr>
            </w:pPr>
            <w:r>
              <w:rPr>
                <w:sz w:val="24"/>
                <w:szCs w:val="24"/>
              </w:rPr>
              <w:t>以本次经评审合格的最低有效投标报价为基准价，投标报价得分=（基准价／投标报价）×10分。</w:t>
            </w:r>
          </w:p>
        </w:tc>
      </w:tr>
      <w:tr w14:paraId="2D3FB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68" w:type="pct"/>
            <w:vAlign w:val="center"/>
          </w:tcPr>
          <w:p w14:paraId="1154C9E9">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2</w:t>
            </w:r>
          </w:p>
        </w:tc>
        <w:tc>
          <w:tcPr>
            <w:tcW w:w="708" w:type="pct"/>
            <w:vMerge w:val="restart"/>
            <w:vAlign w:val="center"/>
          </w:tcPr>
          <w:p w14:paraId="2103830F">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default" w:eastAsia="宋体"/>
                <w:lang w:val="en-US" w:eastAsia="zh-CN"/>
              </w:rPr>
            </w:pPr>
            <w:r>
              <w:rPr>
                <w:rFonts w:hint="eastAsia"/>
                <w:lang w:val="en-US" w:eastAsia="zh-CN"/>
              </w:rPr>
              <w:t>商务部分26%</w:t>
            </w:r>
          </w:p>
        </w:tc>
        <w:tc>
          <w:tcPr>
            <w:tcW w:w="739" w:type="pct"/>
            <w:vAlign w:val="center"/>
          </w:tcPr>
          <w:p w14:paraId="2B0BB0C6">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综合实力</w:t>
            </w:r>
            <w:r>
              <w:rPr>
                <w:rFonts w:hint="eastAsia"/>
                <w:lang w:val="en-US" w:eastAsia="zh-CN"/>
              </w:rPr>
              <w:t>12</w:t>
            </w:r>
            <w:r>
              <w:t>%</w:t>
            </w:r>
          </w:p>
        </w:tc>
        <w:tc>
          <w:tcPr>
            <w:tcW w:w="421" w:type="pct"/>
            <w:vAlign w:val="center"/>
          </w:tcPr>
          <w:p w14:paraId="4E49AA72">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rPr>
                <w:rFonts w:hint="eastAsia"/>
                <w:lang w:val="en-US" w:eastAsia="zh-CN"/>
              </w:rPr>
              <w:t>12</w:t>
            </w:r>
            <w:r>
              <w:t>分</w:t>
            </w:r>
          </w:p>
        </w:tc>
        <w:tc>
          <w:tcPr>
            <w:tcW w:w="2862" w:type="pct"/>
            <w:vAlign w:val="center"/>
          </w:tcPr>
          <w:p w14:paraId="50E447B2">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left"/>
              <w:textAlignment w:val="baseline"/>
              <w:rPr>
                <w:sz w:val="24"/>
                <w:szCs w:val="24"/>
              </w:rPr>
            </w:pPr>
            <w:r>
              <w:rPr>
                <w:b/>
                <w:bCs/>
                <w:sz w:val="24"/>
                <w:szCs w:val="24"/>
              </w:rPr>
              <w:t>1</w:t>
            </w:r>
            <w:r>
              <w:rPr>
                <w:rFonts w:hint="eastAsia"/>
                <w:b/>
                <w:bCs/>
                <w:sz w:val="24"/>
                <w:szCs w:val="24"/>
                <w:lang w:eastAsia="zh-CN"/>
              </w:rPr>
              <w:t>、</w:t>
            </w:r>
            <w:r>
              <w:rPr>
                <w:sz w:val="24"/>
                <w:szCs w:val="24"/>
              </w:rPr>
              <w:t>比选单位具有</w:t>
            </w:r>
            <w:r>
              <w:rPr>
                <w:rFonts w:hint="eastAsia"/>
                <w:sz w:val="24"/>
                <w:szCs w:val="24"/>
                <w:lang w:eastAsia="zh-CN"/>
              </w:rPr>
              <w:t>：</w:t>
            </w:r>
            <w:r>
              <w:rPr>
                <w:sz w:val="24"/>
                <w:szCs w:val="24"/>
              </w:rPr>
              <w:t>涉外调查许可证得</w:t>
            </w:r>
            <w:r>
              <w:rPr>
                <w:rFonts w:hint="eastAsia"/>
                <w:sz w:val="24"/>
                <w:szCs w:val="24"/>
                <w:lang w:val="en-US" w:eastAsia="zh-CN"/>
              </w:rPr>
              <w:t xml:space="preserve"> 3 </w:t>
            </w:r>
            <w:r>
              <w:rPr>
                <w:sz w:val="24"/>
                <w:szCs w:val="24"/>
              </w:rPr>
              <w:t>分；</w:t>
            </w:r>
          </w:p>
          <w:p w14:paraId="35CE2F53">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left"/>
              <w:textAlignment w:val="baseline"/>
              <w:rPr>
                <w:rFonts w:hint="eastAsia" w:eastAsia="宋体"/>
                <w:sz w:val="24"/>
                <w:szCs w:val="24"/>
                <w:lang w:eastAsia="zh-CN"/>
              </w:rPr>
            </w:pPr>
            <w:r>
              <w:rPr>
                <w:b/>
                <w:bCs/>
                <w:sz w:val="24"/>
                <w:szCs w:val="24"/>
              </w:rPr>
              <w:t>2</w:t>
            </w:r>
            <w:r>
              <w:rPr>
                <w:rFonts w:hint="eastAsia"/>
                <w:b/>
                <w:bCs/>
                <w:sz w:val="24"/>
                <w:szCs w:val="24"/>
                <w:lang w:eastAsia="zh-CN"/>
              </w:rPr>
              <w:t>、</w:t>
            </w:r>
            <w:r>
              <w:rPr>
                <w:sz w:val="24"/>
                <w:szCs w:val="24"/>
              </w:rPr>
              <w:t>比选单位</w:t>
            </w:r>
            <w:r>
              <w:rPr>
                <w:rFonts w:hint="eastAsia"/>
                <w:sz w:val="24"/>
                <w:szCs w:val="24"/>
                <w:lang w:val="en-US" w:eastAsia="zh-CN"/>
              </w:rPr>
              <w:t>具有：</w:t>
            </w:r>
            <w:r>
              <w:rPr>
                <w:rFonts w:hint="eastAsia"/>
                <w:sz w:val="24"/>
                <w:szCs w:val="24"/>
              </w:rPr>
              <w:t>信息安全管理体系认证</w:t>
            </w:r>
            <w:r>
              <w:rPr>
                <w:rFonts w:hint="eastAsia"/>
                <w:sz w:val="24"/>
                <w:szCs w:val="24"/>
                <w:lang w:val="en-US" w:eastAsia="zh-CN"/>
              </w:rPr>
              <w:t>证书、</w:t>
            </w:r>
            <w:r>
              <w:rPr>
                <w:rFonts w:hint="eastAsia"/>
                <w:sz w:val="24"/>
                <w:szCs w:val="24"/>
              </w:rPr>
              <w:t>质量管理体系认证</w:t>
            </w:r>
            <w:r>
              <w:rPr>
                <w:rFonts w:hint="eastAsia"/>
                <w:sz w:val="24"/>
                <w:szCs w:val="24"/>
                <w:lang w:val="en-US" w:eastAsia="zh-CN"/>
              </w:rPr>
              <w:t>证书、</w:t>
            </w:r>
            <w:r>
              <w:rPr>
                <w:rFonts w:hint="eastAsia"/>
                <w:sz w:val="24"/>
                <w:szCs w:val="24"/>
              </w:rPr>
              <w:t>信息技术服务管理体系认证证书</w:t>
            </w:r>
            <w:r>
              <w:rPr>
                <w:rFonts w:hint="eastAsia"/>
                <w:sz w:val="24"/>
                <w:szCs w:val="24"/>
                <w:lang w:eastAsia="zh-CN"/>
              </w:rPr>
              <w:t>，</w:t>
            </w:r>
            <w:r>
              <w:rPr>
                <w:rFonts w:hint="eastAsia"/>
                <w:sz w:val="24"/>
                <w:szCs w:val="24"/>
                <w:lang w:val="en-US" w:eastAsia="zh-CN"/>
              </w:rPr>
              <w:t>每提供一个得 2 分；最多得 6 分</w:t>
            </w:r>
            <w:r>
              <w:rPr>
                <w:rFonts w:hint="eastAsia"/>
                <w:sz w:val="24"/>
                <w:szCs w:val="24"/>
                <w:lang w:eastAsia="zh-CN"/>
              </w:rPr>
              <w:t>；</w:t>
            </w:r>
          </w:p>
          <w:p w14:paraId="66D01CA4">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left"/>
              <w:textAlignment w:val="baseline"/>
              <w:rPr>
                <w:rFonts w:hint="eastAsia"/>
                <w:sz w:val="24"/>
                <w:szCs w:val="24"/>
                <w:lang w:eastAsia="zh-CN"/>
              </w:rPr>
            </w:pPr>
            <w:r>
              <w:rPr>
                <w:b/>
                <w:bCs/>
                <w:sz w:val="24"/>
                <w:szCs w:val="24"/>
              </w:rPr>
              <w:t>3</w:t>
            </w:r>
            <w:r>
              <w:rPr>
                <w:rFonts w:hint="eastAsia"/>
                <w:b/>
                <w:bCs/>
                <w:sz w:val="24"/>
                <w:szCs w:val="24"/>
                <w:lang w:eastAsia="zh-CN"/>
              </w:rPr>
              <w:t>、</w:t>
            </w:r>
            <w:r>
              <w:rPr>
                <w:sz w:val="24"/>
                <w:szCs w:val="24"/>
              </w:rPr>
              <w:t>比选单位具有</w:t>
            </w:r>
            <w:r>
              <w:rPr>
                <w:rFonts w:hint="eastAsia"/>
                <w:sz w:val="24"/>
                <w:szCs w:val="24"/>
                <w:lang w:eastAsia="zh-CN"/>
              </w:rPr>
              <w:t>：</w:t>
            </w:r>
            <w:r>
              <w:rPr>
                <w:sz w:val="24"/>
                <w:szCs w:val="24"/>
              </w:rPr>
              <w:t>大数据相关软件著作权，</w:t>
            </w:r>
            <w:r>
              <w:rPr>
                <w:rFonts w:hint="eastAsia"/>
                <w:sz w:val="24"/>
                <w:szCs w:val="24"/>
                <w:lang w:val="en-US" w:eastAsia="zh-CN"/>
              </w:rPr>
              <w:t>每</w:t>
            </w:r>
            <w:r>
              <w:rPr>
                <w:sz w:val="24"/>
                <w:szCs w:val="24"/>
              </w:rPr>
              <w:t>提供一个得</w:t>
            </w:r>
            <w:r>
              <w:rPr>
                <w:rFonts w:hint="eastAsia"/>
                <w:sz w:val="24"/>
                <w:szCs w:val="24"/>
                <w:lang w:val="en-US" w:eastAsia="zh-CN"/>
              </w:rPr>
              <w:t xml:space="preserve"> 1 分，</w:t>
            </w:r>
            <w:r>
              <w:rPr>
                <w:sz w:val="24"/>
                <w:szCs w:val="24"/>
              </w:rPr>
              <w:t xml:space="preserve">最多得 </w:t>
            </w:r>
            <w:r>
              <w:rPr>
                <w:rFonts w:hint="eastAsia"/>
                <w:sz w:val="24"/>
                <w:szCs w:val="24"/>
                <w:lang w:val="en-US" w:eastAsia="zh-CN"/>
              </w:rPr>
              <w:t>3</w:t>
            </w:r>
            <w:r>
              <w:rPr>
                <w:sz w:val="24"/>
                <w:szCs w:val="24"/>
              </w:rPr>
              <w:t xml:space="preserve"> 分</w:t>
            </w:r>
            <w:r>
              <w:rPr>
                <w:rFonts w:hint="eastAsia"/>
                <w:sz w:val="24"/>
                <w:szCs w:val="24"/>
                <w:lang w:eastAsia="zh-CN"/>
              </w:rPr>
              <w:t>。</w:t>
            </w:r>
          </w:p>
          <w:p w14:paraId="59A8B4D5">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left"/>
              <w:textAlignment w:val="baseline"/>
              <w:rPr>
                <w:rFonts w:hint="default"/>
                <w:sz w:val="24"/>
                <w:szCs w:val="24"/>
                <w:lang w:val="en-US" w:eastAsia="zh-CN"/>
              </w:rPr>
            </w:pPr>
            <w:r>
              <w:rPr>
                <w:rFonts w:hint="eastAsia"/>
                <w:b/>
                <w:bCs/>
                <w:sz w:val="24"/>
                <w:szCs w:val="24"/>
                <w:lang w:val="en-US" w:eastAsia="zh-CN"/>
              </w:rPr>
              <w:t>【注】：</w:t>
            </w:r>
            <w:r>
              <w:rPr>
                <w:rFonts w:hint="eastAsia"/>
                <w:b w:val="0"/>
                <w:bCs w:val="0"/>
                <w:sz w:val="24"/>
                <w:szCs w:val="24"/>
                <w:lang w:val="en-US" w:eastAsia="zh-CN"/>
              </w:rPr>
              <w:t>以上资料</w:t>
            </w:r>
            <w:r>
              <w:rPr>
                <w:rFonts w:hint="eastAsia"/>
                <w:sz w:val="24"/>
                <w:szCs w:val="24"/>
                <w:lang w:val="en-US" w:eastAsia="zh-CN"/>
              </w:rPr>
              <w:t>须</w:t>
            </w:r>
            <w:r>
              <w:rPr>
                <w:rFonts w:hint="eastAsia"/>
                <w:b w:val="0"/>
                <w:bCs w:val="0"/>
                <w:sz w:val="24"/>
                <w:szCs w:val="24"/>
                <w:lang w:val="en-US" w:eastAsia="zh-CN"/>
              </w:rPr>
              <w:t>提供证书复印件并加盖</w:t>
            </w:r>
            <w:r>
              <w:rPr>
                <w:sz w:val="24"/>
                <w:szCs w:val="24"/>
              </w:rPr>
              <w:t>比选单位鲜章</w:t>
            </w:r>
            <w:r>
              <w:rPr>
                <w:rFonts w:hint="eastAsia"/>
                <w:b w:val="0"/>
                <w:bCs w:val="0"/>
                <w:sz w:val="24"/>
                <w:szCs w:val="24"/>
                <w:lang w:val="en-US" w:eastAsia="zh-CN"/>
              </w:rPr>
              <w:t>，未提供不得分。</w:t>
            </w:r>
          </w:p>
        </w:tc>
      </w:tr>
      <w:tr w14:paraId="68FCA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21" w:hRule="atLeast"/>
          <w:jc w:val="center"/>
        </w:trPr>
        <w:tc>
          <w:tcPr>
            <w:tcW w:w="268" w:type="pct"/>
            <w:vAlign w:val="center"/>
          </w:tcPr>
          <w:p w14:paraId="54E0249C">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3</w:t>
            </w:r>
          </w:p>
        </w:tc>
        <w:tc>
          <w:tcPr>
            <w:tcW w:w="708" w:type="pct"/>
            <w:vMerge w:val="continue"/>
            <w:vAlign w:val="center"/>
          </w:tcPr>
          <w:p w14:paraId="21785805">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p>
        </w:tc>
        <w:tc>
          <w:tcPr>
            <w:tcW w:w="739" w:type="pct"/>
            <w:vAlign w:val="center"/>
          </w:tcPr>
          <w:p w14:paraId="123AD05C">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类似业绩</w:t>
            </w:r>
            <w:r>
              <w:rPr>
                <w:rFonts w:hint="eastAsia"/>
                <w:lang w:val="en-US" w:eastAsia="zh-CN"/>
              </w:rPr>
              <w:t>6</w:t>
            </w:r>
            <w:r>
              <w:t>%</w:t>
            </w:r>
          </w:p>
        </w:tc>
        <w:tc>
          <w:tcPr>
            <w:tcW w:w="421" w:type="pct"/>
            <w:vAlign w:val="center"/>
          </w:tcPr>
          <w:p w14:paraId="1FA61E57">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rPr>
                <w:rFonts w:hint="eastAsia"/>
                <w:lang w:val="en-US" w:eastAsia="zh-CN"/>
              </w:rPr>
              <w:t>6</w:t>
            </w:r>
            <w:r>
              <w:t>分</w:t>
            </w:r>
          </w:p>
        </w:tc>
        <w:tc>
          <w:tcPr>
            <w:tcW w:w="2862" w:type="pct"/>
            <w:vAlign w:val="center"/>
          </w:tcPr>
          <w:p w14:paraId="68CE482F">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both"/>
              <w:textAlignment w:val="baseline"/>
              <w:rPr>
                <w:rFonts w:hint="default" w:eastAsia="宋体"/>
                <w:sz w:val="24"/>
                <w:szCs w:val="24"/>
                <w:lang w:val="en-US" w:eastAsia="zh-CN"/>
              </w:rPr>
            </w:pPr>
            <w:r>
              <w:rPr>
                <w:rFonts w:hint="eastAsia"/>
                <w:sz w:val="24"/>
                <w:szCs w:val="24"/>
                <w:lang w:val="en-US" w:eastAsia="zh-CN"/>
              </w:rPr>
              <w:t>比选单位具有：</w:t>
            </w:r>
            <w:r>
              <w:rPr>
                <w:sz w:val="24"/>
                <w:szCs w:val="24"/>
              </w:rPr>
              <w:t>202</w:t>
            </w:r>
            <w:r>
              <w:rPr>
                <w:rFonts w:hint="eastAsia"/>
                <w:sz w:val="24"/>
                <w:szCs w:val="24"/>
                <w:lang w:val="en-US" w:eastAsia="zh-CN"/>
              </w:rPr>
              <w:t>1</w:t>
            </w:r>
            <w:r>
              <w:rPr>
                <w:sz w:val="24"/>
                <w:szCs w:val="24"/>
              </w:rPr>
              <w:t>年1月1日至今</w:t>
            </w:r>
            <w:r>
              <w:rPr>
                <w:rFonts w:hint="eastAsia"/>
                <w:sz w:val="24"/>
                <w:szCs w:val="24"/>
                <w:lang w:val="en-US" w:eastAsia="zh-CN"/>
              </w:rPr>
              <w:t>参与</w:t>
            </w:r>
            <w:r>
              <w:rPr>
                <w:sz w:val="24"/>
                <w:szCs w:val="24"/>
              </w:rPr>
              <w:t>过</w:t>
            </w:r>
            <w:r>
              <w:rPr>
                <w:rFonts w:hint="eastAsia"/>
                <w:sz w:val="24"/>
                <w:szCs w:val="24"/>
              </w:rPr>
              <w:t>数据监测服务类似项目业绩</w:t>
            </w:r>
            <w:r>
              <w:rPr>
                <w:rFonts w:hint="eastAsia"/>
                <w:sz w:val="24"/>
                <w:szCs w:val="24"/>
                <w:lang w:eastAsia="zh-CN"/>
              </w:rPr>
              <w:t>，</w:t>
            </w:r>
            <w:r>
              <w:rPr>
                <w:rFonts w:hint="eastAsia"/>
                <w:sz w:val="24"/>
                <w:szCs w:val="24"/>
                <w:lang w:val="en-US" w:eastAsia="zh-CN"/>
              </w:rPr>
              <w:t>每提供一个得 2 分，最多得 6 分。</w:t>
            </w:r>
          </w:p>
          <w:p w14:paraId="46C5D7B8">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both"/>
              <w:textAlignment w:val="baseline"/>
              <w:rPr>
                <w:sz w:val="24"/>
                <w:szCs w:val="24"/>
              </w:rPr>
            </w:pPr>
            <w:r>
              <w:rPr>
                <w:rFonts w:hint="eastAsia" w:ascii="宋体" w:hAnsi="宋体" w:eastAsia="宋体" w:cs="宋体"/>
                <w:b/>
                <w:bCs/>
                <w:sz w:val="24"/>
                <w:szCs w:val="24"/>
                <w:lang w:eastAsia="zh-CN"/>
              </w:rPr>
              <w:t>【</w:t>
            </w:r>
            <w:r>
              <w:rPr>
                <w:rFonts w:ascii="宋体" w:hAnsi="宋体" w:eastAsia="宋体" w:cs="宋体"/>
                <w:b/>
                <w:bCs/>
                <w:sz w:val="24"/>
                <w:szCs w:val="24"/>
              </w:rPr>
              <w:t>注</w:t>
            </w:r>
            <w:r>
              <w:rPr>
                <w:rFonts w:hint="eastAsia" w:ascii="宋体" w:hAnsi="宋体" w:eastAsia="宋体" w:cs="宋体"/>
                <w:b/>
                <w:bCs/>
                <w:sz w:val="24"/>
                <w:szCs w:val="24"/>
                <w:lang w:eastAsia="zh-CN"/>
              </w:rPr>
              <w:t>】</w:t>
            </w:r>
            <w:r>
              <w:rPr>
                <w:rFonts w:ascii="宋体" w:hAnsi="宋体" w:eastAsia="宋体" w:cs="宋体"/>
                <w:b/>
                <w:bCs/>
                <w:sz w:val="24"/>
                <w:szCs w:val="24"/>
              </w:rPr>
              <w:t>：</w:t>
            </w:r>
            <w:r>
              <w:rPr>
                <w:rFonts w:hint="eastAsia"/>
                <w:b w:val="0"/>
                <w:bCs w:val="0"/>
                <w:sz w:val="24"/>
                <w:szCs w:val="24"/>
                <w:lang w:val="en-US" w:eastAsia="zh-CN"/>
              </w:rPr>
              <w:t>以上资料须提供证明材料（提供合同或中标通知书复印件并加盖比选单位鲜章），未提供不得分。</w:t>
            </w:r>
          </w:p>
        </w:tc>
      </w:tr>
      <w:tr w14:paraId="25C2EA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6" w:hRule="atLeast"/>
          <w:jc w:val="center"/>
        </w:trPr>
        <w:tc>
          <w:tcPr>
            <w:tcW w:w="268" w:type="pct"/>
            <w:vAlign w:val="center"/>
          </w:tcPr>
          <w:p w14:paraId="760A4514">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p>
        </w:tc>
        <w:tc>
          <w:tcPr>
            <w:tcW w:w="708" w:type="pct"/>
            <w:vMerge w:val="continue"/>
            <w:vAlign w:val="center"/>
          </w:tcPr>
          <w:p w14:paraId="723D49B4">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p>
        </w:tc>
        <w:tc>
          <w:tcPr>
            <w:tcW w:w="739" w:type="pct"/>
            <w:shd w:val="clear" w:color="auto" w:fill="auto"/>
            <w:vAlign w:val="center"/>
          </w:tcPr>
          <w:p w14:paraId="1F829F63">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ascii="宋体" w:hAnsi="宋体" w:eastAsia="宋体" w:cs="宋体"/>
                <w:snapToGrid w:val="0"/>
                <w:color w:val="000000"/>
                <w:kern w:val="0"/>
                <w:sz w:val="28"/>
                <w:szCs w:val="28"/>
                <w:lang w:val="en-US" w:eastAsia="en-US" w:bidi="ar-SA"/>
              </w:rPr>
            </w:pPr>
            <w:r>
              <w:rPr>
                <w:rFonts w:hint="eastAsia"/>
                <w:lang w:val="en-US" w:eastAsia="zh-CN"/>
              </w:rPr>
              <w:t>团队实力8</w:t>
            </w:r>
            <w:r>
              <w:t>%</w:t>
            </w:r>
          </w:p>
        </w:tc>
        <w:tc>
          <w:tcPr>
            <w:tcW w:w="421" w:type="pct"/>
            <w:shd w:val="clear" w:color="auto" w:fill="auto"/>
            <w:vAlign w:val="center"/>
          </w:tcPr>
          <w:p w14:paraId="755F6BC1">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eastAsia" w:ascii="宋体" w:hAnsi="宋体" w:eastAsia="宋体" w:cs="宋体"/>
                <w:snapToGrid w:val="0"/>
                <w:color w:val="000000"/>
                <w:kern w:val="0"/>
                <w:sz w:val="28"/>
                <w:szCs w:val="28"/>
                <w:lang w:val="en-US" w:eastAsia="zh-CN" w:bidi="ar-SA"/>
              </w:rPr>
            </w:pPr>
            <w:r>
              <w:rPr>
                <w:rFonts w:hint="eastAsia"/>
                <w:lang w:val="en-US" w:eastAsia="zh-CN"/>
              </w:rPr>
              <w:t>8</w:t>
            </w:r>
            <w:r>
              <w:t>分</w:t>
            </w:r>
          </w:p>
        </w:tc>
        <w:tc>
          <w:tcPr>
            <w:tcW w:w="2862" w:type="pct"/>
            <w:shd w:val="clear" w:color="auto" w:fill="auto"/>
            <w:vAlign w:val="top"/>
          </w:tcPr>
          <w:p w14:paraId="34B0AB9C">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rFonts w:hint="eastAsia"/>
                <w:sz w:val="24"/>
                <w:szCs w:val="24"/>
              </w:rPr>
            </w:pPr>
            <w:r>
              <w:rPr>
                <w:rFonts w:hint="eastAsia"/>
                <w:sz w:val="24"/>
                <w:szCs w:val="24"/>
              </w:rPr>
              <w:t>比选单位拟投入本项目团队中：</w:t>
            </w:r>
          </w:p>
          <w:p w14:paraId="7B0ACDB9">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rFonts w:hint="eastAsia"/>
                <w:sz w:val="24"/>
                <w:szCs w:val="24"/>
              </w:rPr>
            </w:pPr>
            <w:r>
              <w:rPr>
                <w:rFonts w:hint="eastAsia"/>
                <w:sz w:val="24"/>
                <w:szCs w:val="24"/>
              </w:rPr>
              <w:t>（1）具有大数据分析师高级证书，每提供1个得3 分，本项最高得 3 分；</w:t>
            </w:r>
          </w:p>
          <w:p w14:paraId="6F1A5902">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rFonts w:hint="eastAsia"/>
                <w:sz w:val="24"/>
                <w:szCs w:val="24"/>
              </w:rPr>
            </w:pPr>
            <w:r>
              <w:rPr>
                <w:rFonts w:hint="eastAsia"/>
                <w:sz w:val="24"/>
                <w:szCs w:val="24"/>
              </w:rPr>
              <w:t>（2）具有网络通信安全类证书，每提供1个得2.5分，本项最高得 5 分。</w:t>
            </w:r>
          </w:p>
          <w:p w14:paraId="52262255">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rFonts w:hint="eastAsia" w:ascii="宋体" w:hAnsi="宋体" w:eastAsia="宋体" w:cs="宋体"/>
                <w:snapToGrid w:val="0"/>
                <w:color w:val="000000"/>
                <w:kern w:val="0"/>
                <w:sz w:val="24"/>
                <w:szCs w:val="24"/>
                <w:lang w:val="en-US" w:eastAsia="zh-CN" w:bidi="ar-SA"/>
              </w:rPr>
            </w:pPr>
            <w:r>
              <w:rPr>
                <w:rFonts w:hint="eastAsia"/>
                <w:sz w:val="24"/>
                <w:szCs w:val="24"/>
              </w:rPr>
              <w:t>【注】：以上资料须提供人员资质证书复印件并加盖比选单位鲜章，未提供不得分（同一人员提供多个证书不得重复得分）。</w:t>
            </w:r>
          </w:p>
        </w:tc>
      </w:tr>
      <w:tr w14:paraId="456F83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07" w:hRule="atLeast"/>
          <w:jc w:val="center"/>
        </w:trPr>
        <w:tc>
          <w:tcPr>
            <w:tcW w:w="268" w:type="pct"/>
            <w:vAlign w:val="center"/>
          </w:tcPr>
          <w:p w14:paraId="67E7AF8F">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eastAsia" w:eastAsia="宋体"/>
                <w:lang w:val="en-US" w:eastAsia="zh-CN"/>
              </w:rPr>
            </w:pPr>
            <w:r>
              <w:rPr>
                <w:rFonts w:hint="eastAsia"/>
                <w:lang w:val="en-US" w:eastAsia="zh-CN"/>
              </w:rPr>
              <w:t>4</w:t>
            </w:r>
          </w:p>
        </w:tc>
        <w:tc>
          <w:tcPr>
            <w:tcW w:w="708" w:type="pct"/>
            <w:vMerge w:val="restart"/>
            <w:vAlign w:val="center"/>
          </w:tcPr>
          <w:p w14:paraId="78F7CE46">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default" w:eastAsia="宋体"/>
                <w:lang w:val="en-US" w:eastAsia="zh-CN"/>
              </w:rPr>
            </w:pPr>
            <w:r>
              <w:rPr>
                <w:rFonts w:hint="eastAsia"/>
                <w:lang w:val="en-US" w:eastAsia="zh-CN"/>
              </w:rPr>
              <w:t>技术部分64%</w:t>
            </w:r>
          </w:p>
        </w:tc>
        <w:tc>
          <w:tcPr>
            <w:tcW w:w="739" w:type="pct"/>
            <w:vAlign w:val="center"/>
          </w:tcPr>
          <w:p w14:paraId="59A81E3A">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rPr>
                <w:rFonts w:hint="eastAsia"/>
                <w:lang w:val="en-US" w:eastAsia="zh-CN"/>
              </w:rPr>
              <w:t>服务</w:t>
            </w:r>
            <w:r>
              <w:t>方案</w:t>
            </w:r>
            <w:r>
              <w:rPr>
                <w:rFonts w:hint="eastAsia"/>
                <w:lang w:val="en-US" w:eastAsia="zh-CN"/>
              </w:rPr>
              <w:t>25</w:t>
            </w:r>
            <w:r>
              <w:t>%</w:t>
            </w:r>
          </w:p>
        </w:tc>
        <w:tc>
          <w:tcPr>
            <w:tcW w:w="421" w:type="pct"/>
            <w:vAlign w:val="center"/>
          </w:tcPr>
          <w:p w14:paraId="24911288">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rPr>
                <w:rFonts w:hint="eastAsia"/>
                <w:lang w:val="en-US" w:eastAsia="zh-CN"/>
              </w:rPr>
              <w:t>25</w:t>
            </w:r>
            <w:r>
              <w:t>分</w:t>
            </w:r>
          </w:p>
        </w:tc>
        <w:tc>
          <w:tcPr>
            <w:tcW w:w="2862" w:type="pct"/>
            <w:vAlign w:val="top"/>
          </w:tcPr>
          <w:p w14:paraId="085EB3F6">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sz w:val="24"/>
                <w:szCs w:val="24"/>
              </w:rPr>
            </w:pPr>
            <w:r>
              <w:rPr>
                <w:sz w:val="24"/>
                <w:szCs w:val="24"/>
              </w:rPr>
              <w:t>根据比选单位提供的</w:t>
            </w:r>
            <w:r>
              <w:rPr>
                <w:rFonts w:hint="eastAsia"/>
                <w:sz w:val="24"/>
                <w:szCs w:val="24"/>
                <w:lang w:val="en-US" w:eastAsia="zh-CN"/>
              </w:rPr>
              <w:t>服务</w:t>
            </w:r>
            <w:r>
              <w:rPr>
                <w:sz w:val="24"/>
                <w:szCs w:val="24"/>
              </w:rPr>
              <w:t>方案进行综合评定，包括但不限于：①对本项目的需求分析理解；②项目实施目标；③项目实施思路；④</w:t>
            </w:r>
            <w:r>
              <w:rPr>
                <w:rFonts w:hint="eastAsia"/>
                <w:sz w:val="24"/>
                <w:szCs w:val="24"/>
                <w:lang w:val="en-US" w:eastAsia="zh-CN"/>
              </w:rPr>
              <w:t>服务</w:t>
            </w:r>
            <w:r>
              <w:rPr>
                <w:sz w:val="24"/>
                <w:szCs w:val="24"/>
              </w:rPr>
              <w:t>内容；⑤项目计划等方面）</w:t>
            </w:r>
            <w:r>
              <w:rPr>
                <w:rFonts w:hint="eastAsia"/>
                <w:sz w:val="24"/>
                <w:szCs w:val="24"/>
                <w:lang w:eastAsia="zh-CN"/>
              </w:rPr>
              <w:t>。</w:t>
            </w:r>
            <w:r>
              <w:rPr>
                <w:rFonts w:hint="eastAsia"/>
                <w:sz w:val="24"/>
                <w:szCs w:val="24"/>
                <w:lang w:val="en-US" w:eastAsia="zh-CN"/>
              </w:rPr>
              <w:t>服务</w:t>
            </w:r>
            <w:r>
              <w:rPr>
                <w:sz w:val="24"/>
                <w:szCs w:val="24"/>
              </w:rPr>
              <w:t xml:space="preserve">方案完全满足本项目实际需求的得 </w:t>
            </w:r>
            <w:r>
              <w:rPr>
                <w:rFonts w:hint="eastAsia"/>
                <w:sz w:val="24"/>
                <w:szCs w:val="24"/>
                <w:lang w:val="en-US" w:eastAsia="zh-CN"/>
              </w:rPr>
              <w:t>25</w:t>
            </w:r>
            <w:r>
              <w:rPr>
                <w:sz w:val="24"/>
                <w:szCs w:val="24"/>
              </w:rPr>
              <w:t xml:space="preserve"> 分，每缺少一项内容的扣 </w:t>
            </w:r>
            <w:r>
              <w:rPr>
                <w:rFonts w:hint="eastAsia"/>
                <w:sz w:val="24"/>
                <w:szCs w:val="24"/>
                <w:lang w:val="en-US" w:eastAsia="zh-CN"/>
              </w:rPr>
              <w:t>5</w:t>
            </w:r>
            <w:r>
              <w:rPr>
                <w:sz w:val="24"/>
                <w:szCs w:val="24"/>
              </w:rPr>
              <w:t xml:space="preserve"> 分，每一项内容中有一处非专门针对本项目或内容不能满足本项目实际需要的扣 </w:t>
            </w:r>
            <w:r>
              <w:rPr>
                <w:rFonts w:hint="eastAsia"/>
                <w:sz w:val="24"/>
                <w:szCs w:val="24"/>
                <w:lang w:val="en-US" w:eastAsia="zh-CN"/>
              </w:rPr>
              <w:t xml:space="preserve">2.5 </w:t>
            </w:r>
            <w:r>
              <w:rPr>
                <w:sz w:val="24"/>
                <w:szCs w:val="24"/>
              </w:rPr>
              <w:t>分，直至该项扣完为止</w:t>
            </w:r>
            <w:r>
              <w:rPr>
                <w:rFonts w:hint="eastAsia"/>
                <w:sz w:val="24"/>
                <w:szCs w:val="24"/>
                <w:lang w:eastAsia="zh-CN"/>
              </w:rPr>
              <w:t>，</w:t>
            </w:r>
            <w:r>
              <w:rPr>
                <w:sz w:val="24"/>
                <w:szCs w:val="24"/>
              </w:rPr>
              <w:t>未提供服务方案不得分。</w:t>
            </w:r>
          </w:p>
        </w:tc>
      </w:tr>
      <w:tr w14:paraId="2633F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10" w:hRule="atLeast"/>
          <w:jc w:val="center"/>
        </w:trPr>
        <w:tc>
          <w:tcPr>
            <w:tcW w:w="268" w:type="pct"/>
            <w:vAlign w:val="center"/>
          </w:tcPr>
          <w:p w14:paraId="64703973">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eastAsia" w:eastAsia="宋体"/>
                <w:lang w:val="en-US" w:eastAsia="zh-CN"/>
              </w:rPr>
            </w:pPr>
            <w:r>
              <w:rPr>
                <w:rFonts w:hint="eastAsia"/>
                <w:lang w:val="en-US" w:eastAsia="zh-CN"/>
              </w:rPr>
              <w:t>5</w:t>
            </w:r>
          </w:p>
        </w:tc>
        <w:tc>
          <w:tcPr>
            <w:tcW w:w="708" w:type="pct"/>
            <w:vMerge w:val="continue"/>
            <w:vAlign w:val="center"/>
          </w:tcPr>
          <w:p w14:paraId="6BE4C413">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p>
        </w:tc>
        <w:tc>
          <w:tcPr>
            <w:tcW w:w="739" w:type="pct"/>
            <w:vAlign w:val="center"/>
          </w:tcPr>
          <w:p w14:paraId="69B1A17C">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rPr>
                <w:rFonts w:hint="eastAsia"/>
                <w:lang w:val="en-US" w:eastAsia="zh-CN"/>
              </w:rPr>
              <w:t>售后</w:t>
            </w:r>
            <w:r>
              <w:t>方案1</w:t>
            </w:r>
            <w:r>
              <w:rPr>
                <w:rFonts w:hint="eastAsia"/>
                <w:lang w:val="en-US" w:eastAsia="zh-CN"/>
              </w:rPr>
              <w:t>5</w:t>
            </w:r>
            <w:r>
              <w:t>%</w:t>
            </w:r>
          </w:p>
        </w:tc>
        <w:tc>
          <w:tcPr>
            <w:tcW w:w="421" w:type="pct"/>
            <w:vAlign w:val="center"/>
          </w:tcPr>
          <w:p w14:paraId="44F0BFCB">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1</w:t>
            </w:r>
            <w:r>
              <w:rPr>
                <w:rFonts w:hint="eastAsia"/>
                <w:lang w:val="en-US" w:eastAsia="zh-CN"/>
              </w:rPr>
              <w:t>5</w:t>
            </w:r>
            <w:r>
              <w:t>分</w:t>
            </w:r>
          </w:p>
        </w:tc>
        <w:tc>
          <w:tcPr>
            <w:tcW w:w="2862" w:type="pct"/>
            <w:vAlign w:val="top"/>
          </w:tcPr>
          <w:p w14:paraId="779D8927">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sz w:val="24"/>
                <w:szCs w:val="24"/>
              </w:rPr>
            </w:pPr>
            <w:r>
              <w:rPr>
                <w:sz w:val="24"/>
                <w:szCs w:val="24"/>
              </w:rPr>
              <w:t>按照本项目工作内容拟定相关</w:t>
            </w:r>
            <w:r>
              <w:rPr>
                <w:rFonts w:hint="eastAsia"/>
                <w:sz w:val="24"/>
                <w:szCs w:val="24"/>
                <w:lang w:val="en-US" w:eastAsia="zh-CN"/>
              </w:rPr>
              <w:t>售后</w:t>
            </w:r>
            <w:r>
              <w:rPr>
                <w:sz w:val="24"/>
                <w:szCs w:val="24"/>
              </w:rPr>
              <w:t>方案，包括但不限于：①</w:t>
            </w:r>
            <w:r>
              <w:rPr>
                <w:rFonts w:hint="eastAsia"/>
                <w:sz w:val="24"/>
                <w:szCs w:val="24"/>
                <w:lang w:val="en-US" w:eastAsia="zh-CN"/>
              </w:rPr>
              <w:t>售后服务承诺</w:t>
            </w:r>
            <w:r>
              <w:rPr>
                <w:sz w:val="24"/>
                <w:szCs w:val="24"/>
              </w:rPr>
              <w:t>；②</w:t>
            </w:r>
            <w:r>
              <w:rPr>
                <w:rFonts w:hint="eastAsia"/>
                <w:sz w:val="24"/>
                <w:szCs w:val="24"/>
                <w:lang w:val="en-US" w:eastAsia="zh-CN"/>
              </w:rPr>
              <w:t>技术服务支持</w:t>
            </w:r>
            <w:r>
              <w:rPr>
                <w:sz w:val="24"/>
                <w:szCs w:val="24"/>
              </w:rPr>
              <w:t>；③</w:t>
            </w:r>
            <w:r>
              <w:rPr>
                <w:rFonts w:hint="eastAsia"/>
                <w:sz w:val="24"/>
                <w:szCs w:val="24"/>
                <w:lang w:val="en-US" w:eastAsia="zh-CN"/>
              </w:rPr>
              <w:t>售后服务流程制度</w:t>
            </w:r>
            <w:r>
              <w:rPr>
                <w:rFonts w:hint="eastAsia"/>
                <w:sz w:val="24"/>
                <w:szCs w:val="24"/>
                <w:lang w:eastAsia="zh-CN"/>
              </w:rPr>
              <w:t>。</w:t>
            </w:r>
            <w:r>
              <w:rPr>
                <w:rFonts w:hint="eastAsia"/>
                <w:sz w:val="24"/>
                <w:szCs w:val="24"/>
                <w:lang w:val="en-US" w:eastAsia="zh-CN"/>
              </w:rPr>
              <w:t>售后</w:t>
            </w:r>
            <w:r>
              <w:rPr>
                <w:sz w:val="24"/>
                <w:szCs w:val="24"/>
              </w:rPr>
              <w:t>方案完全满足本项目实际需求的得</w:t>
            </w:r>
            <w:r>
              <w:rPr>
                <w:rFonts w:hint="eastAsia"/>
                <w:sz w:val="24"/>
                <w:szCs w:val="24"/>
                <w:lang w:val="en-US" w:eastAsia="zh-CN"/>
              </w:rPr>
              <w:t xml:space="preserve"> 15</w:t>
            </w:r>
            <w:r>
              <w:rPr>
                <w:sz w:val="24"/>
                <w:szCs w:val="24"/>
              </w:rPr>
              <w:t xml:space="preserve"> 分，每缺少一项内容的扣 </w:t>
            </w:r>
            <w:r>
              <w:rPr>
                <w:rFonts w:hint="eastAsia"/>
                <w:sz w:val="24"/>
                <w:szCs w:val="24"/>
                <w:lang w:val="en-US" w:eastAsia="zh-CN"/>
              </w:rPr>
              <w:t>5</w:t>
            </w:r>
            <w:r>
              <w:rPr>
                <w:sz w:val="24"/>
                <w:szCs w:val="24"/>
              </w:rPr>
              <w:t xml:space="preserve"> 分，每一项内容中有一处非专门针对本项目或内容不能满足本项目实际需要的扣</w:t>
            </w:r>
            <w:r>
              <w:rPr>
                <w:rFonts w:hint="eastAsia"/>
                <w:sz w:val="24"/>
                <w:szCs w:val="24"/>
                <w:lang w:val="en-US" w:eastAsia="zh-CN"/>
              </w:rPr>
              <w:t xml:space="preserve"> 2.5</w:t>
            </w:r>
            <w:r>
              <w:rPr>
                <w:sz w:val="24"/>
                <w:szCs w:val="24"/>
              </w:rPr>
              <w:t xml:space="preserve"> 分，直至该项扣完为止</w:t>
            </w:r>
            <w:r>
              <w:rPr>
                <w:rFonts w:hint="eastAsia"/>
                <w:sz w:val="24"/>
                <w:szCs w:val="24"/>
                <w:lang w:eastAsia="zh-CN"/>
              </w:rPr>
              <w:t>，</w:t>
            </w:r>
            <w:r>
              <w:rPr>
                <w:sz w:val="24"/>
                <w:szCs w:val="24"/>
              </w:rPr>
              <w:t>未提供</w:t>
            </w:r>
            <w:r>
              <w:rPr>
                <w:rFonts w:hint="eastAsia"/>
                <w:sz w:val="24"/>
                <w:szCs w:val="24"/>
                <w:lang w:val="en-US" w:eastAsia="zh-CN"/>
              </w:rPr>
              <w:t>售后</w:t>
            </w:r>
            <w:r>
              <w:rPr>
                <w:sz w:val="24"/>
                <w:szCs w:val="24"/>
              </w:rPr>
              <w:t>方案不得分。</w:t>
            </w:r>
          </w:p>
        </w:tc>
      </w:tr>
      <w:tr w14:paraId="7F4F5E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9" w:hRule="atLeast"/>
          <w:jc w:val="center"/>
        </w:trPr>
        <w:tc>
          <w:tcPr>
            <w:tcW w:w="268" w:type="pct"/>
            <w:vAlign w:val="center"/>
          </w:tcPr>
          <w:p w14:paraId="3DF2360D">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eastAsia" w:eastAsia="宋体"/>
                <w:lang w:val="en-US" w:eastAsia="zh-CN"/>
              </w:rPr>
            </w:pPr>
            <w:r>
              <w:rPr>
                <w:rFonts w:hint="eastAsia"/>
                <w:lang w:val="en-US" w:eastAsia="zh-CN"/>
              </w:rPr>
              <w:t>6</w:t>
            </w:r>
          </w:p>
        </w:tc>
        <w:tc>
          <w:tcPr>
            <w:tcW w:w="708" w:type="pct"/>
            <w:vMerge w:val="continue"/>
            <w:vAlign w:val="center"/>
          </w:tcPr>
          <w:p w14:paraId="1AC7F979">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p>
        </w:tc>
        <w:tc>
          <w:tcPr>
            <w:tcW w:w="739" w:type="pct"/>
            <w:vAlign w:val="center"/>
          </w:tcPr>
          <w:p w14:paraId="53EC8289">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保障措施</w:t>
            </w:r>
            <w:r>
              <w:rPr>
                <w:rFonts w:hint="eastAsia"/>
                <w:lang w:val="en-US" w:eastAsia="zh-CN"/>
              </w:rPr>
              <w:t>15</w:t>
            </w:r>
            <w:r>
              <w:t>%</w:t>
            </w:r>
          </w:p>
        </w:tc>
        <w:tc>
          <w:tcPr>
            <w:tcW w:w="421" w:type="pct"/>
            <w:vAlign w:val="center"/>
          </w:tcPr>
          <w:p w14:paraId="473EC0B1">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r>
              <w:t>1</w:t>
            </w:r>
            <w:r>
              <w:rPr>
                <w:rFonts w:hint="eastAsia"/>
                <w:lang w:val="en-US" w:eastAsia="zh-CN"/>
              </w:rPr>
              <w:t>5</w:t>
            </w:r>
            <w:r>
              <w:t>分</w:t>
            </w:r>
          </w:p>
        </w:tc>
        <w:tc>
          <w:tcPr>
            <w:tcW w:w="2862" w:type="pct"/>
            <w:vAlign w:val="top"/>
          </w:tcPr>
          <w:p w14:paraId="3F08DBEE">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sz w:val="24"/>
                <w:szCs w:val="24"/>
              </w:rPr>
            </w:pPr>
            <w:r>
              <w:rPr>
                <w:sz w:val="24"/>
                <w:szCs w:val="24"/>
              </w:rPr>
              <w:t>按照本项目工作内容拟定保障措施，包括但不限于①</w:t>
            </w:r>
            <w:r>
              <w:rPr>
                <w:rFonts w:hint="eastAsia"/>
                <w:sz w:val="24"/>
                <w:szCs w:val="24"/>
                <w:lang w:val="en-US" w:eastAsia="zh-CN"/>
              </w:rPr>
              <w:t>项目</w:t>
            </w:r>
            <w:r>
              <w:rPr>
                <w:sz w:val="24"/>
                <w:szCs w:val="24"/>
              </w:rPr>
              <w:t>质量保障措施；②进度保障措施；③保密制度</w:t>
            </w:r>
            <w:r>
              <w:rPr>
                <w:rFonts w:hint="eastAsia"/>
                <w:sz w:val="24"/>
                <w:szCs w:val="24"/>
                <w:lang w:eastAsia="zh-CN"/>
              </w:rPr>
              <w:t>。</w:t>
            </w:r>
            <w:r>
              <w:rPr>
                <w:sz w:val="24"/>
                <w:szCs w:val="24"/>
              </w:rPr>
              <w:t>保障措施完全满足本项目实际需求的得 1</w:t>
            </w:r>
            <w:r>
              <w:rPr>
                <w:rFonts w:hint="eastAsia"/>
                <w:sz w:val="24"/>
                <w:szCs w:val="24"/>
                <w:lang w:val="en-US" w:eastAsia="zh-CN"/>
              </w:rPr>
              <w:t>5</w:t>
            </w:r>
            <w:r>
              <w:rPr>
                <w:sz w:val="24"/>
                <w:szCs w:val="24"/>
              </w:rPr>
              <w:t xml:space="preserve"> 分，每缺少一项内容的扣 </w:t>
            </w:r>
            <w:r>
              <w:rPr>
                <w:rFonts w:hint="eastAsia"/>
                <w:sz w:val="24"/>
                <w:szCs w:val="24"/>
                <w:lang w:val="en-US" w:eastAsia="zh-CN"/>
              </w:rPr>
              <w:t>5</w:t>
            </w:r>
            <w:r>
              <w:rPr>
                <w:sz w:val="24"/>
                <w:szCs w:val="24"/>
              </w:rPr>
              <w:t xml:space="preserve"> 分，每一项内容中有一处非专门针对本项目或内容不能满足本项目实际需要的扣 </w:t>
            </w:r>
            <w:r>
              <w:rPr>
                <w:rFonts w:hint="eastAsia"/>
                <w:sz w:val="24"/>
                <w:szCs w:val="24"/>
                <w:lang w:val="en-US" w:eastAsia="zh-CN"/>
              </w:rPr>
              <w:t>2.5</w:t>
            </w:r>
            <w:r>
              <w:rPr>
                <w:sz w:val="24"/>
                <w:szCs w:val="24"/>
              </w:rPr>
              <w:t xml:space="preserve"> 分，直至该项扣完为止。未提供</w:t>
            </w:r>
            <w:r>
              <w:rPr>
                <w:rFonts w:hint="eastAsia"/>
                <w:sz w:val="24"/>
                <w:szCs w:val="24"/>
                <w:lang w:val="en-US" w:eastAsia="zh-CN"/>
              </w:rPr>
              <w:t>保障措施</w:t>
            </w:r>
            <w:r>
              <w:rPr>
                <w:sz w:val="24"/>
                <w:szCs w:val="24"/>
              </w:rPr>
              <w:t>不得分。</w:t>
            </w:r>
          </w:p>
        </w:tc>
      </w:tr>
      <w:tr w14:paraId="5642D8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2" w:hRule="atLeast"/>
          <w:jc w:val="center"/>
        </w:trPr>
        <w:tc>
          <w:tcPr>
            <w:tcW w:w="268" w:type="pct"/>
            <w:vAlign w:val="center"/>
          </w:tcPr>
          <w:p w14:paraId="1E4FC282">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default"/>
                <w:lang w:val="en-US" w:eastAsia="zh-CN"/>
              </w:rPr>
            </w:pPr>
            <w:r>
              <w:rPr>
                <w:rFonts w:hint="eastAsia"/>
                <w:lang w:val="en-US" w:eastAsia="zh-CN"/>
              </w:rPr>
              <w:t>7</w:t>
            </w:r>
          </w:p>
        </w:tc>
        <w:tc>
          <w:tcPr>
            <w:tcW w:w="708" w:type="pct"/>
            <w:vMerge w:val="continue"/>
            <w:vAlign w:val="center"/>
          </w:tcPr>
          <w:p w14:paraId="25145B86">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pPr>
          </w:p>
        </w:tc>
        <w:tc>
          <w:tcPr>
            <w:tcW w:w="739" w:type="pct"/>
            <w:vAlign w:val="center"/>
          </w:tcPr>
          <w:p w14:paraId="49B02EB0">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default" w:ascii="宋体" w:hAnsi="宋体" w:eastAsia="宋体" w:cs="宋体"/>
                <w:snapToGrid w:val="0"/>
                <w:color w:val="000000"/>
                <w:kern w:val="0"/>
                <w:sz w:val="28"/>
                <w:szCs w:val="28"/>
                <w:lang w:val="en-US" w:eastAsia="zh-CN" w:bidi="ar-SA"/>
              </w:rPr>
            </w:pPr>
            <w:r>
              <w:rPr>
                <w:rFonts w:hint="eastAsia"/>
                <w:lang w:val="en-US" w:eastAsia="zh-CN"/>
              </w:rPr>
              <w:t>人员配置方案9</w:t>
            </w:r>
            <w:r>
              <w:t>%</w:t>
            </w:r>
          </w:p>
        </w:tc>
        <w:tc>
          <w:tcPr>
            <w:tcW w:w="421" w:type="pct"/>
            <w:vAlign w:val="center"/>
          </w:tcPr>
          <w:p w14:paraId="28E72899">
            <w:pPr>
              <w:keepNext w:val="0"/>
              <w:keepLines w:val="0"/>
              <w:pageBreakBefore w:val="0"/>
              <w:widowControl/>
              <w:kinsoku w:val="0"/>
              <w:wordWrap/>
              <w:overflowPunct/>
              <w:topLinePunct w:val="0"/>
              <w:autoSpaceDE w:val="0"/>
              <w:autoSpaceDN w:val="0"/>
              <w:bidi w:val="0"/>
              <w:adjustRightInd w:val="0"/>
              <w:snapToGrid w:val="0"/>
              <w:spacing w:line="400" w:lineRule="exact"/>
              <w:ind w:firstLine="0" w:firstLineChars="0"/>
              <w:jc w:val="center"/>
              <w:textAlignment w:val="baseline"/>
              <w:rPr>
                <w:rFonts w:hint="default" w:ascii="宋体" w:hAnsi="宋体" w:eastAsia="宋体" w:cs="宋体"/>
                <w:snapToGrid w:val="0"/>
                <w:color w:val="000000"/>
                <w:kern w:val="0"/>
                <w:sz w:val="28"/>
                <w:szCs w:val="28"/>
                <w:lang w:val="en-US" w:eastAsia="zh-CN" w:bidi="ar-SA"/>
              </w:rPr>
            </w:pPr>
            <w:r>
              <w:rPr>
                <w:rFonts w:hint="eastAsia"/>
                <w:lang w:val="en-US" w:eastAsia="zh-CN"/>
              </w:rPr>
              <w:t>9分</w:t>
            </w:r>
          </w:p>
        </w:tc>
        <w:tc>
          <w:tcPr>
            <w:tcW w:w="2862" w:type="pct"/>
            <w:vAlign w:val="top"/>
          </w:tcPr>
          <w:p w14:paraId="1A2E9A69">
            <w:pPr>
              <w:keepNext w:val="0"/>
              <w:keepLines w:val="0"/>
              <w:pageBreakBefore w:val="0"/>
              <w:widowControl/>
              <w:kinsoku w:val="0"/>
              <w:wordWrap/>
              <w:overflowPunct/>
              <w:topLinePunct w:val="0"/>
              <w:autoSpaceDE w:val="0"/>
              <w:autoSpaceDN w:val="0"/>
              <w:bidi w:val="0"/>
              <w:adjustRightInd w:val="0"/>
              <w:snapToGrid w:val="0"/>
              <w:spacing w:line="400" w:lineRule="exact"/>
              <w:ind w:left="0" w:leftChars="0" w:firstLine="0" w:firstLineChars="0"/>
              <w:textAlignment w:val="baseline"/>
              <w:rPr>
                <w:rFonts w:ascii="宋体" w:hAnsi="宋体" w:eastAsia="宋体" w:cs="宋体"/>
                <w:snapToGrid w:val="0"/>
                <w:color w:val="000000"/>
                <w:kern w:val="0"/>
                <w:sz w:val="24"/>
                <w:szCs w:val="24"/>
                <w:lang w:val="en-US" w:eastAsia="en-US" w:bidi="ar-SA"/>
              </w:rPr>
            </w:pPr>
            <w:r>
              <w:rPr>
                <w:rFonts w:hint="eastAsia"/>
                <w:sz w:val="24"/>
                <w:szCs w:val="24"/>
                <w:lang w:val="en-US" w:eastAsia="en-US"/>
              </w:rPr>
              <w:t xml:space="preserve">按照本项目工作内容拟定人员配置方案，包括但不限于：①服务团队配置齐备完善；②具备完整的组织架构；③人员配置合理且能满足采购需求等相关承诺。内容完全满足项目需求、符合本项目特点的得 </w:t>
            </w:r>
            <w:r>
              <w:rPr>
                <w:rFonts w:hint="eastAsia"/>
                <w:sz w:val="24"/>
                <w:szCs w:val="24"/>
                <w:lang w:val="en-US" w:eastAsia="zh-CN"/>
              </w:rPr>
              <w:t>9</w:t>
            </w:r>
            <w:r>
              <w:rPr>
                <w:rFonts w:hint="eastAsia"/>
                <w:sz w:val="24"/>
                <w:szCs w:val="24"/>
                <w:lang w:val="en-US" w:eastAsia="en-US"/>
              </w:rPr>
              <w:t xml:space="preserve"> 分；每缺少一项内容扣 </w:t>
            </w:r>
            <w:r>
              <w:rPr>
                <w:rFonts w:hint="eastAsia"/>
                <w:sz w:val="24"/>
                <w:szCs w:val="24"/>
                <w:lang w:val="en-US" w:eastAsia="zh-CN"/>
              </w:rPr>
              <w:t>3</w:t>
            </w:r>
            <w:r>
              <w:rPr>
                <w:rFonts w:hint="eastAsia"/>
                <w:sz w:val="24"/>
                <w:szCs w:val="24"/>
                <w:lang w:val="en-US" w:eastAsia="en-US"/>
              </w:rPr>
              <w:t xml:space="preserve"> 分，每有一项内容存在错误或不足或不符合本项目要求扣 </w:t>
            </w:r>
            <w:r>
              <w:rPr>
                <w:rFonts w:hint="eastAsia"/>
                <w:sz w:val="24"/>
                <w:szCs w:val="24"/>
                <w:lang w:val="en-US" w:eastAsia="zh-CN"/>
              </w:rPr>
              <w:t>1.5</w:t>
            </w:r>
            <w:r>
              <w:rPr>
                <w:rFonts w:hint="eastAsia"/>
                <w:sz w:val="24"/>
                <w:szCs w:val="24"/>
                <w:lang w:val="en-US" w:eastAsia="en-US"/>
              </w:rPr>
              <w:t xml:space="preserve"> 分，扣完为止。</w:t>
            </w:r>
          </w:p>
        </w:tc>
      </w:tr>
    </w:tbl>
    <w:p w14:paraId="159D0DDF">
      <w:pPr>
        <w:bidi w:val="0"/>
      </w:pPr>
    </w:p>
    <w:p w14:paraId="0E7C556C">
      <w:pPr>
        <w:bidi w:val="0"/>
      </w:pPr>
    </w:p>
    <w:p w14:paraId="4B19889B">
      <w:pPr>
        <w:rPr>
          <w:b/>
          <w:bCs/>
        </w:rPr>
      </w:pPr>
      <w:r>
        <w:rPr>
          <w:b/>
          <w:bCs/>
        </w:rPr>
        <w:br w:type="page"/>
      </w:r>
    </w:p>
    <w:p w14:paraId="0357F7E1">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BjYWU4ZjgyYTY3NWY0MjIwMzJkOGNhODc4YTdjMWQifQ=="/>
  </w:docVars>
  <w:rsids>
    <w:rsidRoot w:val="27F37196"/>
    <w:rsid w:val="27F371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360" w:lineRule="auto"/>
      <w:ind w:firstLine="792" w:firstLineChars="200"/>
      <w:jc w:val="left"/>
      <w:textAlignment w:val="baseline"/>
    </w:pPr>
    <w:rPr>
      <w:rFonts w:ascii="仿宋" w:hAnsi="仿宋" w:eastAsia="仿宋" w:cs="仿宋"/>
      <w:snapToGrid w:val="0"/>
      <w:color w:val="000000"/>
      <w:kern w:val="0"/>
      <w:sz w:val="28"/>
      <w:szCs w:val="28"/>
      <w:lang w:val="en-US" w:eastAsia="en-US"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next w:val="3"/>
    <w:qFormat/>
    <w:uiPriority w:val="0"/>
    <w:pPr>
      <w:tabs>
        <w:tab w:val="center" w:pos="4153"/>
        <w:tab w:val="right" w:pos="8306"/>
      </w:tabs>
      <w:snapToGrid w:val="0"/>
      <w:jc w:val="left"/>
    </w:pPr>
    <w:rPr>
      <w:sz w:val="18"/>
    </w:rPr>
  </w:style>
  <w:style w:type="paragraph" w:customStyle="1" w:styleId="3">
    <w:name w:val="索引 51"/>
    <w:basedOn w:val="1"/>
    <w:next w:val="1"/>
    <w:qFormat/>
    <w:uiPriority w:val="0"/>
    <w:pPr>
      <w:ind w:left="1680"/>
    </w:pPr>
  </w:style>
  <w:style w:type="table" w:customStyle="1" w:styleId="6">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2024-10-14T07:32:00Z</dcterms:created>
  <dc:creator>asus</dc:creator>
  <cp:lastModifiedBy>asus</cp:lastModifiedBy>
  <dcterms:modified xsi:type="dcterms:W3CDTF">2024-10-14T07:33:03Z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EFA5050130C345D9A00B252BB3B0B8E3_11</vt:lpwstr>
  </property>
</Properties>
</file>