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87EC19">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附件</w:t>
      </w:r>
    </w:p>
    <w:p w14:paraId="721BBFC1">
      <w:pPr>
        <w:pStyle w:val="2"/>
        <w:keepNext w:val="0"/>
        <w:keepLines w:val="0"/>
        <w:pageBreakBefore w:val="0"/>
        <w:widowControl w:val="0"/>
        <w:kinsoku/>
        <w:wordWrap/>
        <w:overflowPunct/>
        <w:topLinePunct w:val="0"/>
        <w:autoSpaceDE/>
        <w:autoSpaceDN/>
        <w:bidi w:val="0"/>
        <w:adjustRightInd/>
        <w:snapToGrid w:val="0"/>
        <w:spacing w:before="0" w:after="0" w:line="240" w:lineRule="auto"/>
        <w:ind w:left="0" w:leftChars="0" w:right="0" w:rightChars="0" w:firstLine="0" w:firstLineChars="0"/>
        <w:jc w:val="both"/>
        <w:textAlignment w:val="auto"/>
        <w:outlineLvl w:val="9"/>
        <w:rPr>
          <w:rFonts w:hint="default" w:ascii="Times New Roman" w:hAnsi="Times New Roman" w:eastAsia="方正仿宋_GBK" w:cs="Times New Roman"/>
          <w:b w:val="0"/>
          <w:bCs w:val="0"/>
          <w:sz w:val="32"/>
          <w:szCs w:val="32"/>
        </w:rPr>
      </w:pPr>
    </w:p>
    <w:p w14:paraId="471B36FD">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方正小标宋_GBK" w:cs="Times New Roman"/>
          <w:b w:val="0"/>
          <w:bCs w:val="0"/>
          <w:sz w:val="44"/>
          <w:szCs w:val="44"/>
          <w:lang w:eastAsia="zh-CN"/>
        </w:rPr>
      </w:pPr>
      <w:r>
        <w:rPr>
          <w:rFonts w:hint="default" w:ascii="Times New Roman" w:hAnsi="Times New Roman" w:eastAsia="方正小标宋_GBK" w:cs="Times New Roman"/>
          <w:b w:val="0"/>
          <w:bCs w:val="0"/>
          <w:sz w:val="44"/>
          <w:szCs w:val="44"/>
          <w:lang w:eastAsia="zh-CN"/>
        </w:rPr>
        <w:t>外贸综合服务企业认定标准及流程</w:t>
      </w:r>
    </w:p>
    <w:p w14:paraId="0667ADA9">
      <w:pPr>
        <w:pStyle w:val="2"/>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jc w:val="center"/>
        <w:textAlignment w:val="auto"/>
        <w:outlineLvl w:val="9"/>
        <w:rPr>
          <w:rFonts w:hint="eastAsia" w:ascii="方正楷体_GBK" w:hAnsi="方正楷体_GBK" w:eastAsia="方正楷体_GBK" w:cs="方正楷体_GBK"/>
          <w:b w:val="0"/>
          <w:bCs w:val="0"/>
          <w:sz w:val="32"/>
          <w:szCs w:val="32"/>
          <w:lang w:eastAsia="zh-CN"/>
        </w:rPr>
      </w:pPr>
      <w:r>
        <w:rPr>
          <w:rFonts w:hint="eastAsia" w:ascii="方正楷体_GBK" w:hAnsi="方正楷体_GBK" w:eastAsia="方正楷体_GBK" w:cs="方正楷体_GBK"/>
          <w:b w:val="0"/>
          <w:bCs w:val="0"/>
          <w:sz w:val="32"/>
          <w:szCs w:val="32"/>
          <w:lang w:eastAsia="zh-CN"/>
        </w:rPr>
        <w:t>（</w:t>
      </w:r>
      <w:r>
        <w:rPr>
          <w:rFonts w:hint="eastAsia" w:ascii="方正楷体_GBK" w:hAnsi="方正楷体_GBK" w:eastAsia="方正楷体_GBK" w:cs="方正楷体_GBK"/>
          <w:b w:val="0"/>
          <w:bCs w:val="0"/>
          <w:sz w:val="32"/>
          <w:szCs w:val="32"/>
          <w:lang w:val="en-US" w:eastAsia="zh-CN"/>
        </w:rPr>
        <w:t>修订稿</w:t>
      </w:r>
      <w:r>
        <w:rPr>
          <w:rFonts w:hint="eastAsia" w:ascii="方正楷体_GBK" w:hAnsi="方正楷体_GBK" w:eastAsia="方正楷体_GBK" w:cs="方正楷体_GBK"/>
          <w:b w:val="0"/>
          <w:bCs w:val="0"/>
          <w:sz w:val="32"/>
          <w:szCs w:val="32"/>
          <w:lang w:eastAsia="zh-CN"/>
        </w:rPr>
        <w:t>）</w:t>
      </w:r>
    </w:p>
    <w:p w14:paraId="03C12186">
      <w:pPr>
        <w:keepNext w:val="0"/>
        <w:keepLines w:val="0"/>
        <w:pageBreakBefore w:val="0"/>
        <w:widowControl w:val="0"/>
        <w:kinsoku/>
        <w:wordWrap/>
        <w:overflowPunct/>
        <w:topLinePunct w:val="0"/>
        <w:autoSpaceDE/>
        <w:autoSpaceDN/>
        <w:bidi w:val="0"/>
        <w:adjustRightInd/>
        <w:snapToGrid/>
        <w:spacing w:line="240" w:lineRule="auto"/>
        <w:ind w:right="0" w:rightChars="0"/>
        <w:textAlignment w:val="auto"/>
        <w:rPr>
          <w:rFonts w:hint="default" w:ascii="Times New Roman" w:hAnsi="Times New Roman" w:eastAsia="方正仿宋_GBK" w:cs="Times New Roman"/>
          <w:b w:val="0"/>
          <w:bCs w:val="0"/>
          <w:sz w:val="32"/>
          <w:szCs w:val="32"/>
          <w:lang w:eastAsia="zh-CN"/>
        </w:rPr>
      </w:pPr>
    </w:p>
    <w:p w14:paraId="5826EB57">
      <w:pPr>
        <w:keepNext w:val="0"/>
        <w:keepLines w:val="0"/>
        <w:pageBreakBefore w:val="0"/>
        <w:widowControl w:val="0"/>
        <w:numPr>
          <w:ilvl w:val="0"/>
          <w:numId w:val="1"/>
        </w:numPr>
        <w:suppressAutoHyphens/>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认定范围</w:t>
      </w:r>
    </w:p>
    <w:p w14:paraId="56749A0D">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jc w:val="both"/>
        <w:textAlignment w:val="auto"/>
        <w:outlineLvl w:val="9"/>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我市</w:t>
      </w:r>
      <w:r>
        <w:rPr>
          <w:rFonts w:hint="default" w:ascii="Times New Roman" w:hAnsi="Times New Roman" w:eastAsia="方正仿宋_GBK" w:cs="Times New Roman"/>
          <w:b w:val="0"/>
          <w:bCs w:val="0"/>
          <w:sz w:val="32"/>
          <w:szCs w:val="32"/>
          <w:lang w:eastAsia="zh-CN"/>
        </w:rPr>
        <w:t>外贸综合服务企业（以下简称</w:t>
      </w:r>
      <w:r>
        <w:rPr>
          <w:rFonts w:hint="eastAsia" w:ascii="Times New Roman" w:hAnsi="Times New Roman" w:eastAsia="方正仿宋_GBK" w:cs="Times New Roman"/>
          <w:b w:val="0"/>
          <w:bCs w:val="0"/>
          <w:sz w:val="32"/>
          <w:szCs w:val="32"/>
          <w:lang w:eastAsia="zh-CN"/>
        </w:rPr>
        <w:t>“</w:t>
      </w:r>
      <w:r>
        <w:rPr>
          <w:rFonts w:hint="default" w:ascii="Times New Roman" w:hAnsi="Times New Roman" w:eastAsia="方正仿宋_GBK" w:cs="Times New Roman"/>
          <w:b w:val="0"/>
          <w:bCs w:val="0"/>
          <w:sz w:val="32"/>
          <w:szCs w:val="32"/>
        </w:rPr>
        <w:t>外综服企业</w:t>
      </w:r>
      <w:r>
        <w:rPr>
          <w:rFonts w:hint="eastAsia" w:ascii="Times New Roman" w:hAnsi="Times New Roman" w:eastAsia="方正仿宋_GBK" w:cs="Times New Roman"/>
          <w:b w:val="0"/>
          <w:bCs w:val="0"/>
          <w:sz w:val="32"/>
          <w:szCs w:val="32"/>
          <w:lang w:eastAsia="zh-CN"/>
        </w:rPr>
        <w:t>”</w:t>
      </w:r>
      <w:r>
        <w:rPr>
          <w:rFonts w:hint="default" w:ascii="Times New Roman" w:hAnsi="Times New Roman" w:eastAsia="方正仿宋_GBK" w:cs="Times New Roman"/>
          <w:b w:val="0"/>
          <w:bCs w:val="0"/>
          <w:sz w:val="32"/>
          <w:szCs w:val="32"/>
          <w:lang w:eastAsia="zh-CN"/>
        </w:rPr>
        <w:t>）</w:t>
      </w:r>
      <w:r>
        <w:rPr>
          <w:rFonts w:hint="default" w:ascii="Times New Roman" w:hAnsi="Times New Roman" w:eastAsia="方正仿宋_GBK" w:cs="Times New Roman"/>
          <w:b w:val="0"/>
          <w:bCs w:val="0"/>
          <w:sz w:val="32"/>
          <w:szCs w:val="32"/>
        </w:rPr>
        <w:t>是指</w:t>
      </w:r>
      <w:r>
        <w:rPr>
          <w:rFonts w:hint="default" w:ascii="Times New Roman" w:hAnsi="Times New Roman" w:eastAsia="方正仿宋_GBK" w:cs="Times New Roman"/>
          <w:b w:val="0"/>
          <w:bCs w:val="0"/>
          <w:sz w:val="32"/>
          <w:szCs w:val="32"/>
          <w:lang w:eastAsia="zh-CN"/>
        </w:rPr>
        <w:t>依法签订综合服务合同（协议），</w:t>
      </w:r>
      <w:r>
        <w:rPr>
          <w:rFonts w:hint="default" w:ascii="Times New Roman" w:hAnsi="Times New Roman" w:eastAsia="方正仿宋_GBK" w:cs="Times New Roman"/>
          <w:b w:val="0"/>
          <w:bCs w:val="0"/>
          <w:sz w:val="32"/>
          <w:szCs w:val="32"/>
        </w:rPr>
        <w:t>依托线上综合服务信息平台，为一定数量的市场主体提供包括报关、物流、代办退税、结算、信保等在内的综合服务业务和协助办理融资业务的外贸企业。</w:t>
      </w:r>
    </w:p>
    <w:p w14:paraId="3822BC66">
      <w:pPr>
        <w:keepNext w:val="0"/>
        <w:keepLines w:val="0"/>
        <w:pageBreakBefore w:val="0"/>
        <w:widowControl w:val="0"/>
        <w:numPr>
          <w:ilvl w:val="0"/>
          <w:numId w:val="1"/>
        </w:numPr>
        <w:suppressAutoHyphens/>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认定</w:t>
      </w:r>
      <w:r>
        <w:rPr>
          <w:rFonts w:hint="default" w:ascii="Times New Roman" w:hAnsi="Times New Roman" w:eastAsia="方正黑体_GBK" w:cs="Times New Roman"/>
          <w:b w:val="0"/>
          <w:bCs w:val="0"/>
          <w:sz w:val="32"/>
          <w:szCs w:val="32"/>
          <w:lang w:val="en-US" w:eastAsia="zh-CN"/>
        </w:rPr>
        <w:t>类别</w:t>
      </w:r>
    </w:p>
    <w:p w14:paraId="3ECA6862">
      <w:pPr>
        <w:pStyle w:val="2"/>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640" w:firstLineChars="200"/>
        <w:textAlignment w:val="auto"/>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sz w:val="32"/>
          <w:szCs w:val="32"/>
          <w:lang w:val="en-US" w:eastAsia="zh-CN"/>
        </w:rPr>
        <w:t>外综服企业认定分为两种类别：</w:t>
      </w:r>
      <w:r>
        <w:rPr>
          <w:rFonts w:hint="default" w:ascii="Times New Roman" w:hAnsi="Times New Roman" w:eastAsia="方正仿宋_GBK" w:cs="Times New Roman"/>
          <w:b w:val="0"/>
          <w:bCs w:val="0"/>
          <w:snapToGrid w:val="0"/>
          <w:color w:val="000000"/>
          <w:kern w:val="0"/>
          <w:sz w:val="32"/>
          <w:szCs w:val="32"/>
          <w:u w:val="none"/>
          <w:lang w:bidi="zh-CN"/>
        </w:rPr>
        <w:t>外综服</w:t>
      </w:r>
      <w:r>
        <w:rPr>
          <w:rFonts w:hint="default" w:ascii="Times New Roman" w:hAnsi="Times New Roman" w:eastAsia="方正仿宋_GBK" w:cs="Times New Roman"/>
          <w:b w:val="0"/>
          <w:bCs w:val="0"/>
          <w:color w:val="auto"/>
          <w:sz w:val="32"/>
          <w:szCs w:val="32"/>
          <w:u w:val="none"/>
          <w:lang w:val="en-US" w:eastAsia="zh-CN"/>
        </w:rPr>
        <w:t>试点企业</w:t>
      </w:r>
      <w:r>
        <w:rPr>
          <w:rFonts w:hint="default" w:ascii="Times New Roman" w:hAnsi="Times New Roman" w:eastAsia="方正仿宋_GBK" w:cs="Times New Roman"/>
          <w:b w:val="0"/>
          <w:bCs w:val="0"/>
          <w:sz w:val="32"/>
          <w:szCs w:val="32"/>
          <w:u w:val="none"/>
          <w:lang w:val="en-US" w:eastAsia="zh-CN"/>
        </w:rPr>
        <w:t>和</w:t>
      </w:r>
      <w:r>
        <w:rPr>
          <w:rFonts w:hint="default" w:ascii="Times New Roman" w:hAnsi="Times New Roman" w:eastAsia="方正仿宋_GBK" w:cs="Times New Roman"/>
          <w:b w:val="0"/>
          <w:bCs w:val="0"/>
          <w:snapToGrid w:val="0"/>
          <w:color w:val="000000"/>
          <w:kern w:val="0"/>
          <w:sz w:val="32"/>
          <w:szCs w:val="32"/>
          <w:u w:val="none"/>
          <w:lang w:bidi="zh-CN"/>
        </w:rPr>
        <w:t>外综服</w:t>
      </w:r>
      <w:r>
        <w:rPr>
          <w:rFonts w:hint="default" w:ascii="Times New Roman" w:hAnsi="Times New Roman" w:eastAsia="方正仿宋_GBK" w:cs="Times New Roman"/>
          <w:b w:val="0"/>
          <w:bCs w:val="0"/>
          <w:color w:val="auto"/>
          <w:sz w:val="32"/>
          <w:szCs w:val="32"/>
          <w:u w:val="none"/>
          <w:lang w:val="en-US" w:eastAsia="zh-CN"/>
        </w:rPr>
        <w:t>培育企业</w:t>
      </w:r>
      <w:r>
        <w:rPr>
          <w:rFonts w:hint="default" w:ascii="Times New Roman" w:hAnsi="Times New Roman" w:eastAsia="方正仿宋_GBK" w:cs="Times New Roman"/>
          <w:b w:val="0"/>
          <w:bCs w:val="0"/>
          <w:sz w:val="32"/>
          <w:szCs w:val="32"/>
          <w:u w:val="none"/>
          <w:lang w:val="en-US" w:eastAsia="zh-CN"/>
        </w:rPr>
        <w:t>，</w:t>
      </w:r>
      <w:r>
        <w:rPr>
          <w:rFonts w:hint="default" w:ascii="Times New Roman" w:hAnsi="Times New Roman" w:eastAsia="方正仿宋_GBK" w:cs="Times New Roman"/>
          <w:b w:val="0"/>
          <w:bCs w:val="0"/>
          <w:sz w:val="32"/>
          <w:szCs w:val="32"/>
          <w:lang w:val="en-US" w:eastAsia="zh-CN"/>
        </w:rPr>
        <w:t>根据企业服务功能完善程度、服务规模大小、信息化平台建设程度、内部风险控制能力等标准，将服务能力成熟、行业影响突出的</w:t>
      </w:r>
      <w:r>
        <w:rPr>
          <w:rFonts w:hint="default" w:ascii="Times New Roman" w:hAnsi="Times New Roman" w:eastAsia="方正仿宋_GBK" w:cs="Times New Roman"/>
          <w:b w:val="0"/>
          <w:bCs w:val="0"/>
          <w:color w:val="auto"/>
          <w:sz w:val="32"/>
          <w:szCs w:val="32"/>
          <w:lang w:val="en-US" w:eastAsia="zh-CN"/>
        </w:rPr>
        <w:t>符合认定条件的</w:t>
      </w:r>
      <w:r>
        <w:rPr>
          <w:rFonts w:hint="default" w:ascii="Times New Roman" w:hAnsi="Times New Roman" w:eastAsia="方正仿宋_GBK" w:cs="Times New Roman"/>
          <w:b w:val="0"/>
          <w:bCs w:val="0"/>
          <w:sz w:val="32"/>
          <w:szCs w:val="32"/>
          <w:lang w:val="en-US" w:eastAsia="zh-CN"/>
        </w:rPr>
        <w:t>企业认定为试点企业，具备成长潜力的</w:t>
      </w:r>
      <w:r>
        <w:rPr>
          <w:rFonts w:hint="default" w:ascii="Times New Roman" w:hAnsi="Times New Roman" w:eastAsia="方正仿宋_GBK" w:cs="Times New Roman"/>
          <w:b w:val="0"/>
          <w:bCs w:val="0"/>
          <w:color w:val="auto"/>
          <w:sz w:val="32"/>
          <w:szCs w:val="32"/>
          <w:lang w:val="en-US" w:eastAsia="zh-CN"/>
        </w:rPr>
        <w:t>符合认定条件的企业</w:t>
      </w:r>
      <w:r>
        <w:rPr>
          <w:rFonts w:hint="default" w:ascii="Times New Roman" w:hAnsi="Times New Roman" w:eastAsia="方正仿宋_GBK" w:cs="Times New Roman"/>
          <w:b w:val="0"/>
          <w:bCs w:val="0"/>
          <w:sz w:val="32"/>
          <w:szCs w:val="32"/>
          <w:lang w:val="en-US" w:eastAsia="zh-CN"/>
        </w:rPr>
        <w:t>认定为培育企业。</w:t>
      </w:r>
    </w:p>
    <w:p w14:paraId="1779E9D8">
      <w:pPr>
        <w:keepNext w:val="0"/>
        <w:keepLines w:val="0"/>
        <w:pageBreakBefore w:val="0"/>
        <w:widowControl w:val="0"/>
        <w:numPr>
          <w:ilvl w:val="0"/>
          <w:numId w:val="1"/>
        </w:numPr>
        <w:suppressAutoHyphens/>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认定条件</w:t>
      </w:r>
    </w:p>
    <w:p w14:paraId="3E52D56C">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（一）依法登记注册，以外贸综合服务为主营业务，机构设置、人员配备、办公经营场所符合业务发展需要。</w:t>
      </w:r>
    </w:p>
    <w:p w14:paraId="09E2DB6D">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rPr>
        <w:t>（二）拥有</w:t>
      </w:r>
      <w:r>
        <w:rPr>
          <w:rFonts w:hint="default" w:ascii="Times New Roman" w:hAnsi="Times New Roman" w:eastAsia="方正仿宋_GBK" w:cs="Times New Roman"/>
          <w:b w:val="0"/>
          <w:bCs w:val="0"/>
          <w:sz w:val="32"/>
          <w:szCs w:val="32"/>
          <w:lang w:eastAsia="zh-CN"/>
        </w:rPr>
        <w:t>包括线上下单、线上审批的一站式</w:t>
      </w:r>
      <w:r>
        <w:rPr>
          <w:rFonts w:hint="default" w:ascii="Times New Roman" w:hAnsi="Times New Roman" w:eastAsia="方正仿宋_GBK" w:cs="Times New Roman"/>
          <w:b w:val="0"/>
          <w:bCs w:val="0"/>
          <w:sz w:val="32"/>
          <w:szCs w:val="32"/>
        </w:rPr>
        <w:t>外贸综合服务信息平台，具备积累全流程电子信息数据及对数据进行运用、分析、追溯、风险防控的能力。</w:t>
      </w:r>
      <w:r>
        <w:rPr>
          <w:rFonts w:hint="default" w:ascii="Times New Roman" w:hAnsi="Times New Roman" w:eastAsia="方正仿宋_GBK" w:cs="Times New Roman"/>
          <w:b w:val="0"/>
          <w:bCs w:val="0"/>
          <w:sz w:val="32"/>
          <w:szCs w:val="32"/>
          <w:lang w:eastAsia="zh-CN"/>
        </w:rPr>
        <w:t>对外综服培育企业可给予</w:t>
      </w:r>
      <w:r>
        <w:rPr>
          <w:rFonts w:hint="default" w:ascii="Times New Roman" w:hAnsi="Times New Roman" w:eastAsia="方正仿宋_GBK" w:cs="Times New Roman"/>
          <w:b w:val="0"/>
          <w:bCs w:val="0"/>
          <w:sz w:val="32"/>
          <w:szCs w:val="32"/>
          <w:lang w:val="en-US" w:eastAsia="zh-CN"/>
        </w:rPr>
        <w:t>2年的完善期。</w:t>
      </w:r>
    </w:p>
    <w:p w14:paraId="60881B6C">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仿宋_GBK" w:cs="Times New Roman"/>
          <w:b w:val="0"/>
          <w:bCs w:val="0"/>
          <w:sz w:val="32"/>
          <w:szCs w:val="32"/>
          <w:u w:val="single"/>
        </w:rPr>
      </w:pPr>
      <w:r>
        <w:rPr>
          <w:rFonts w:hint="default" w:ascii="Times New Roman" w:hAnsi="Times New Roman" w:eastAsia="方正仿宋_GBK" w:cs="Times New Roman"/>
          <w:b w:val="0"/>
          <w:bCs w:val="0"/>
          <w:sz w:val="32"/>
          <w:szCs w:val="32"/>
          <w:highlight w:val="none"/>
        </w:rPr>
        <w:t>（三）</w:t>
      </w:r>
      <w:r>
        <w:rPr>
          <w:rFonts w:hint="default" w:ascii="Times New Roman" w:hAnsi="Times New Roman" w:eastAsia="方正仿宋_GBK" w:cs="Times New Roman"/>
          <w:b w:val="0"/>
          <w:bCs w:val="0"/>
          <w:sz w:val="32"/>
          <w:szCs w:val="32"/>
        </w:rPr>
        <w:t>能</w:t>
      </w:r>
      <w:r>
        <w:rPr>
          <w:rFonts w:hint="default" w:ascii="Times New Roman" w:hAnsi="Times New Roman" w:eastAsia="方正仿宋_GBK" w:cs="Times New Roman"/>
          <w:b w:val="0"/>
          <w:bCs w:val="0"/>
          <w:sz w:val="32"/>
          <w:szCs w:val="32"/>
          <w:lang w:eastAsia="zh-CN"/>
        </w:rPr>
        <w:t>够</w:t>
      </w:r>
      <w:r>
        <w:rPr>
          <w:rFonts w:hint="default" w:ascii="Times New Roman" w:hAnsi="Times New Roman" w:eastAsia="方正仿宋_GBK" w:cs="Times New Roman"/>
          <w:b w:val="0"/>
          <w:bCs w:val="0"/>
          <w:sz w:val="32"/>
          <w:szCs w:val="32"/>
        </w:rPr>
        <w:t>提供报关</w:t>
      </w:r>
      <w:r>
        <w:rPr>
          <w:rFonts w:hint="default" w:ascii="Times New Roman" w:hAnsi="Times New Roman" w:eastAsia="方正仿宋_GBK" w:cs="Times New Roman"/>
          <w:b w:val="0"/>
          <w:bCs w:val="0"/>
          <w:sz w:val="32"/>
          <w:szCs w:val="32"/>
          <w:lang w:val="en-US" w:eastAsia="zh-CN"/>
        </w:rPr>
        <w:t>报检、</w:t>
      </w:r>
      <w:r>
        <w:rPr>
          <w:rFonts w:hint="default" w:ascii="Times New Roman" w:hAnsi="Times New Roman" w:eastAsia="方正仿宋_GBK" w:cs="Times New Roman"/>
          <w:b w:val="0"/>
          <w:bCs w:val="0"/>
          <w:sz w:val="32"/>
          <w:szCs w:val="32"/>
        </w:rPr>
        <w:t>物流、退税、结算、信保、融资、撮合等</w:t>
      </w:r>
      <w:r>
        <w:rPr>
          <w:rFonts w:hint="default" w:ascii="Times New Roman" w:hAnsi="Times New Roman" w:eastAsia="方正仿宋_GBK" w:cs="Times New Roman"/>
          <w:b w:val="0"/>
          <w:bCs w:val="0"/>
          <w:sz w:val="32"/>
          <w:szCs w:val="32"/>
          <w:lang w:val="en-US" w:eastAsia="zh-CN"/>
        </w:rPr>
        <w:t>外贸</w:t>
      </w:r>
      <w:r>
        <w:rPr>
          <w:rFonts w:hint="default" w:ascii="Times New Roman" w:hAnsi="Times New Roman" w:eastAsia="方正仿宋_GBK" w:cs="Times New Roman"/>
          <w:b w:val="0"/>
          <w:bCs w:val="0"/>
          <w:sz w:val="32"/>
          <w:szCs w:val="32"/>
        </w:rPr>
        <w:t>服务</w:t>
      </w:r>
      <w:r>
        <w:rPr>
          <w:rFonts w:hint="default" w:ascii="Times New Roman" w:hAnsi="Times New Roman" w:eastAsia="方正仿宋_GBK" w:cs="Times New Roman"/>
          <w:b w:val="0"/>
          <w:bCs w:val="0"/>
          <w:sz w:val="32"/>
          <w:szCs w:val="32"/>
          <w:lang w:eastAsia="zh-CN"/>
        </w:rPr>
        <w:t>内容中的</w:t>
      </w:r>
      <w:r>
        <w:rPr>
          <w:rFonts w:hint="default" w:ascii="Times New Roman" w:hAnsi="Times New Roman" w:eastAsia="方正仿宋_GBK" w:cs="Times New Roman"/>
          <w:b w:val="0"/>
          <w:bCs w:val="0"/>
          <w:sz w:val="32"/>
          <w:szCs w:val="32"/>
          <w:u w:val="none"/>
          <w:lang w:val="en-US" w:eastAsia="zh-CN"/>
        </w:rPr>
        <w:t>至少4项</w:t>
      </w:r>
      <w:r>
        <w:rPr>
          <w:rFonts w:hint="default" w:ascii="Times New Roman" w:hAnsi="Times New Roman" w:eastAsia="方正仿宋_GBK" w:cs="Times New Roman"/>
          <w:b w:val="0"/>
          <w:bCs w:val="0"/>
          <w:color w:val="auto"/>
          <w:sz w:val="32"/>
          <w:szCs w:val="32"/>
          <w:u w:val="none"/>
          <w:lang w:val="en-US" w:eastAsia="zh-CN"/>
        </w:rPr>
        <w:t>（含）</w:t>
      </w:r>
      <w:r>
        <w:rPr>
          <w:rFonts w:hint="default" w:ascii="Times New Roman" w:hAnsi="Times New Roman" w:eastAsia="方正仿宋_GBK" w:cs="Times New Roman"/>
          <w:b w:val="0"/>
          <w:bCs w:val="0"/>
          <w:sz w:val="32"/>
          <w:szCs w:val="32"/>
          <w:u w:val="none"/>
          <w:lang w:val="en-US" w:eastAsia="zh-CN"/>
        </w:rPr>
        <w:t>以上</w:t>
      </w:r>
      <w:r>
        <w:rPr>
          <w:rFonts w:hint="default" w:ascii="Times New Roman" w:hAnsi="Times New Roman" w:eastAsia="方正仿宋_GBK" w:cs="Times New Roman"/>
          <w:b w:val="0"/>
          <w:bCs w:val="0"/>
          <w:sz w:val="32"/>
          <w:szCs w:val="32"/>
          <w:u w:val="none"/>
        </w:rPr>
        <w:t>。</w:t>
      </w:r>
    </w:p>
    <w:p w14:paraId="05CBADCC">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highlight w:val="none"/>
        </w:rPr>
        <w:t>（四）</w:t>
      </w:r>
      <w:r>
        <w:rPr>
          <w:rFonts w:hint="default" w:ascii="Times New Roman" w:hAnsi="Times New Roman" w:eastAsia="方正仿宋_GBK" w:cs="Times New Roman"/>
          <w:b w:val="0"/>
          <w:bCs w:val="0"/>
          <w:sz w:val="32"/>
          <w:szCs w:val="32"/>
          <w:highlight w:val="none"/>
          <w:lang w:val="en-US" w:eastAsia="zh-CN"/>
        </w:rPr>
        <w:t>根据认定类别不同，外综服企业应满足：</w:t>
      </w:r>
    </w:p>
    <w:p w14:paraId="5E754FC4">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sz w:val="32"/>
          <w:szCs w:val="32"/>
          <w:lang w:val="en-US" w:eastAsia="zh-CN"/>
        </w:rPr>
        <w:t>1</w:t>
      </w:r>
      <w:r>
        <w:rPr>
          <w:rFonts w:hint="eastAsia" w:ascii="Times New Roman" w:hAnsi="Times New Roman" w:eastAsia="方正仿宋_GBK" w:cs="Times New Roman"/>
          <w:b w:val="0"/>
          <w:bCs w:val="0"/>
          <w:sz w:val="32"/>
          <w:szCs w:val="32"/>
          <w:lang w:val="en-US" w:eastAsia="zh-CN"/>
        </w:rPr>
        <w:t>．</w:t>
      </w:r>
      <w:r>
        <w:rPr>
          <w:rFonts w:hint="default" w:ascii="Times New Roman" w:hAnsi="Times New Roman" w:eastAsia="方正仿宋_GBK" w:cs="Times New Roman"/>
          <w:b w:val="0"/>
          <w:bCs w:val="0"/>
          <w:sz w:val="32"/>
          <w:szCs w:val="32"/>
          <w:lang w:val="en-US" w:eastAsia="zh-CN"/>
        </w:rPr>
        <w:t>试点企业：</w:t>
      </w:r>
      <w:r>
        <w:rPr>
          <w:rFonts w:hint="default" w:ascii="Times New Roman" w:hAnsi="Times New Roman" w:eastAsia="方正仿宋_GBK" w:cs="Times New Roman"/>
          <w:b w:val="0"/>
          <w:bCs w:val="0"/>
          <w:sz w:val="32"/>
          <w:szCs w:val="32"/>
        </w:rPr>
        <w:t>服务</w:t>
      </w:r>
      <w:r>
        <w:rPr>
          <w:rFonts w:hint="default" w:ascii="Times New Roman" w:hAnsi="Times New Roman" w:eastAsia="方正仿宋_GBK" w:cs="Times New Roman"/>
          <w:b w:val="0"/>
          <w:bCs w:val="0"/>
          <w:sz w:val="32"/>
          <w:szCs w:val="32"/>
          <w:lang w:eastAsia="zh-CN"/>
        </w:rPr>
        <w:t>本地</w:t>
      </w:r>
      <w:r>
        <w:rPr>
          <w:rFonts w:hint="default" w:ascii="Times New Roman" w:hAnsi="Times New Roman" w:eastAsia="方正仿宋_GBK" w:cs="Times New Roman"/>
          <w:b w:val="0"/>
          <w:bCs w:val="0"/>
          <w:sz w:val="32"/>
          <w:szCs w:val="32"/>
        </w:rPr>
        <w:t>市场主体数量</w:t>
      </w:r>
      <w:r>
        <w:rPr>
          <w:rFonts w:hint="default" w:ascii="Times New Roman" w:hAnsi="Times New Roman" w:eastAsia="方正仿宋_GBK" w:cs="Times New Roman"/>
          <w:b w:val="0"/>
          <w:bCs w:val="0"/>
          <w:color w:val="auto"/>
          <w:sz w:val="32"/>
          <w:szCs w:val="32"/>
        </w:rPr>
        <w:t>在</w:t>
      </w:r>
      <w:r>
        <w:rPr>
          <w:rFonts w:hint="default" w:ascii="Times New Roman" w:hAnsi="Times New Roman" w:eastAsia="方正仿宋_GBK" w:cs="Times New Roman"/>
          <w:b w:val="0"/>
          <w:bCs w:val="0"/>
          <w:color w:val="auto"/>
          <w:sz w:val="32"/>
          <w:szCs w:val="32"/>
          <w:u w:val="none"/>
          <w:lang w:val="en-US" w:eastAsia="zh-CN"/>
        </w:rPr>
        <w:t>3</w:t>
      </w:r>
      <w:r>
        <w:rPr>
          <w:rFonts w:hint="default" w:ascii="Times New Roman" w:hAnsi="Times New Roman" w:eastAsia="方正仿宋_GBK" w:cs="Times New Roman"/>
          <w:b w:val="0"/>
          <w:bCs w:val="0"/>
          <w:color w:val="auto"/>
          <w:sz w:val="32"/>
          <w:szCs w:val="32"/>
          <w:u w:val="none"/>
        </w:rPr>
        <w:t>0</w:t>
      </w:r>
      <w:r>
        <w:rPr>
          <w:rFonts w:hint="default" w:ascii="Times New Roman" w:hAnsi="Times New Roman" w:eastAsia="方正仿宋_GBK" w:cs="Times New Roman"/>
          <w:b w:val="0"/>
          <w:bCs w:val="0"/>
          <w:color w:val="auto"/>
          <w:sz w:val="32"/>
          <w:szCs w:val="32"/>
        </w:rPr>
        <w:t>家</w:t>
      </w:r>
      <w:r>
        <w:rPr>
          <w:rFonts w:hint="default" w:ascii="Times New Roman" w:hAnsi="Times New Roman" w:eastAsia="方正仿宋_GBK" w:cs="Times New Roman"/>
          <w:b w:val="0"/>
          <w:bCs w:val="0"/>
          <w:color w:val="auto"/>
          <w:sz w:val="32"/>
          <w:szCs w:val="32"/>
          <w:u w:val="none"/>
          <w:lang w:val="en-US" w:eastAsia="zh-CN"/>
        </w:rPr>
        <w:t>（含）</w:t>
      </w:r>
      <w:r>
        <w:rPr>
          <w:rFonts w:hint="default" w:ascii="Times New Roman" w:hAnsi="Times New Roman" w:eastAsia="方正仿宋_GBK" w:cs="Times New Roman"/>
          <w:b w:val="0"/>
          <w:bCs w:val="0"/>
          <w:color w:val="auto"/>
          <w:sz w:val="32"/>
          <w:szCs w:val="32"/>
        </w:rPr>
        <w:t>以上</w:t>
      </w:r>
      <w:r>
        <w:rPr>
          <w:rFonts w:hint="default" w:ascii="Times New Roman" w:hAnsi="Times New Roman" w:eastAsia="方正仿宋_GBK" w:cs="Times New Roman"/>
          <w:b w:val="0"/>
          <w:bCs w:val="0"/>
          <w:color w:val="auto"/>
          <w:sz w:val="32"/>
          <w:szCs w:val="32"/>
          <w:lang w:eastAsia="zh-CN"/>
        </w:rPr>
        <w:t>，</w:t>
      </w:r>
      <w:r>
        <w:rPr>
          <w:rFonts w:hint="default" w:ascii="Times New Roman" w:hAnsi="Times New Roman" w:eastAsia="方正仿宋_GBK" w:cs="Times New Roman"/>
          <w:b w:val="0"/>
          <w:bCs w:val="0"/>
          <w:color w:val="auto"/>
          <w:sz w:val="32"/>
          <w:szCs w:val="32"/>
          <w:lang w:val="en-US" w:eastAsia="zh-CN"/>
        </w:rPr>
        <w:t>上</w:t>
      </w:r>
      <w:r>
        <w:rPr>
          <w:rFonts w:hint="default" w:ascii="Times New Roman" w:hAnsi="Times New Roman" w:eastAsia="方正仿宋_GBK" w:cs="Times New Roman"/>
          <w:b w:val="0"/>
          <w:bCs w:val="0"/>
          <w:color w:val="auto"/>
          <w:sz w:val="32"/>
          <w:szCs w:val="32"/>
        </w:rPr>
        <w:t>年度</w:t>
      </w:r>
      <w:r>
        <w:rPr>
          <w:rFonts w:hint="default" w:ascii="Times New Roman" w:hAnsi="Times New Roman" w:eastAsia="方正仿宋_GBK" w:cs="Times New Roman"/>
          <w:b w:val="0"/>
          <w:bCs w:val="0"/>
          <w:color w:val="auto"/>
          <w:sz w:val="32"/>
          <w:szCs w:val="32"/>
          <w:lang w:eastAsia="zh-CN"/>
        </w:rPr>
        <w:t>经核准在渝业务量达</w:t>
      </w:r>
      <w:r>
        <w:rPr>
          <w:rFonts w:hint="default" w:ascii="Times New Roman" w:hAnsi="Times New Roman" w:eastAsia="方正仿宋_GBK" w:cs="Times New Roman"/>
          <w:b w:val="0"/>
          <w:bCs w:val="0"/>
          <w:color w:val="auto"/>
          <w:sz w:val="32"/>
          <w:szCs w:val="32"/>
          <w:lang w:val="en-US" w:eastAsia="zh-CN"/>
        </w:rPr>
        <w:t>1000万美元</w:t>
      </w:r>
      <w:r>
        <w:rPr>
          <w:rFonts w:hint="default" w:ascii="Times New Roman" w:hAnsi="Times New Roman" w:eastAsia="方正仿宋_GBK" w:cs="Times New Roman"/>
          <w:b w:val="0"/>
          <w:bCs w:val="0"/>
          <w:color w:val="auto"/>
          <w:sz w:val="32"/>
          <w:szCs w:val="32"/>
          <w:u w:val="none"/>
          <w:lang w:val="en-US" w:eastAsia="zh-CN"/>
        </w:rPr>
        <w:t>（含）</w:t>
      </w:r>
      <w:r>
        <w:rPr>
          <w:rFonts w:hint="default" w:ascii="Times New Roman" w:hAnsi="Times New Roman" w:eastAsia="方正仿宋_GBK" w:cs="Times New Roman"/>
          <w:b w:val="0"/>
          <w:bCs w:val="0"/>
          <w:color w:val="auto"/>
          <w:sz w:val="32"/>
          <w:szCs w:val="32"/>
          <w:lang w:val="en-US" w:eastAsia="zh-CN"/>
        </w:rPr>
        <w:t>以上</w:t>
      </w:r>
      <w:r>
        <w:rPr>
          <w:rFonts w:hint="default" w:ascii="Times New Roman" w:hAnsi="Times New Roman" w:eastAsia="方正仿宋_GBK" w:cs="Times New Roman"/>
          <w:b w:val="0"/>
          <w:bCs w:val="0"/>
          <w:color w:val="auto"/>
          <w:sz w:val="32"/>
          <w:szCs w:val="32"/>
        </w:rPr>
        <w:t>。</w:t>
      </w:r>
    </w:p>
    <w:p w14:paraId="089FB5B0">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仿宋_GBK" w:cs="Times New Roman"/>
          <w:b w:val="0"/>
          <w:bCs w:val="0"/>
          <w:sz w:val="32"/>
          <w:szCs w:val="32"/>
          <w:lang w:eastAsia="zh-CN"/>
        </w:rPr>
      </w:pPr>
      <w:r>
        <w:rPr>
          <w:rFonts w:hint="default" w:ascii="Times New Roman" w:hAnsi="Times New Roman" w:eastAsia="方正仿宋_GBK" w:cs="Times New Roman"/>
          <w:b w:val="0"/>
          <w:bCs w:val="0"/>
          <w:color w:val="auto"/>
          <w:sz w:val="32"/>
          <w:szCs w:val="32"/>
          <w:lang w:val="en-US" w:eastAsia="zh-CN"/>
        </w:rPr>
        <w:t>2</w:t>
      </w:r>
      <w:r>
        <w:rPr>
          <w:rFonts w:hint="eastAsia" w:ascii="Times New Roman" w:hAnsi="Times New Roman" w:eastAsia="方正仿宋_GBK" w:cs="Times New Roman"/>
          <w:b w:val="0"/>
          <w:bCs w:val="0"/>
          <w:color w:val="auto"/>
          <w:sz w:val="32"/>
          <w:szCs w:val="32"/>
          <w:lang w:val="en-US" w:eastAsia="zh-CN"/>
        </w:rPr>
        <w:t>．</w:t>
      </w:r>
      <w:r>
        <w:rPr>
          <w:rFonts w:hint="default" w:ascii="Times New Roman" w:hAnsi="Times New Roman" w:eastAsia="方正仿宋_GBK" w:cs="Times New Roman"/>
          <w:b w:val="0"/>
          <w:bCs w:val="0"/>
          <w:color w:val="auto"/>
          <w:sz w:val="32"/>
          <w:szCs w:val="32"/>
          <w:lang w:val="en-US" w:eastAsia="zh-CN"/>
        </w:rPr>
        <w:t>培育企业：</w:t>
      </w:r>
      <w:r>
        <w:rPr>
          <w:rFonts w:hint="default" w:ascii="Times New Roman" w:hAnsi="Times New Roman" w:eastAsia="方正仿宋_GBK" w:cs="Times New Roman"/>
          <w:b w:val="0"/>
          <w:bCs w:val="0"/>
          <w:color w:val="auto"/>
          <w:sz w:val="32"/>
          <w:szCs w:val="32"/>
        </w:rPr>
        <w:t>服务</w:t>
      </w:r>
      <w:r>
        <w:rPr>
          <w:rFonts w:hint="default" w:ascii="Times New Roman" w:hAnsi="Times New Roman" w:eastAsia="方正仿宋_GBK" w:cs="Times New Roman"/>
          <w:b w:val="0"/>
          <w:bCs w:val="0"/>
          <w:color w:val="auto"/>
          <w:sz w:val="32"/>
          <w:szCs w:val="32"/>
          <w:lang w:eastAsia="zh-CN"/>
        </w:rPr>
        <w:t>本地</w:t>
      </w:r>
      <w:r>
        <w:rPr>
          <w:rFonts w:hint="default" w:ascii="Times New Roman" w:hAnsi="Times New Roman" w:eastAsia="方正仿宋_GBK" w:cs="Times New Roman"/>
          <w:b w:val="0"/>
          <w:bCs w:val="0"/>
          <w:color w:val="auto"/>
          <w:sz w:val="32"/>
          <w:szCs w:val="32"/>
        </w:rPr>
        <w:t>市场主体数量在</w:t>
      </w:r>
      <w:r>
        <w:rPr>
          <w:rFonts w:hint="default" w:ascii="Times New Roman" w:hAnsi="Times New Roman" w:eastAsia="方正仿宋_GBK" w:cs="Times New Roman"/>
          <w:b w:val="0"/>
          <w:bCs w:val="0"/>
          <w:color w:val="auto"/>
          <w:sz w:val="32"/>
          <w:szCs w:val="32"/>
          <w:lang w:val="en-US" w:eastAsia="zh-CN"/>
        </w:rPr>
        <w:t>10</w:t>
      </w:r>
      <w:r>
        <w:rPr>
          <w:rFonts w:hint="default" w:ascii="Times New Roman" w:hAnsi="Times New Roman" w:eastAsia="方正仿宋_GBK" w:cs="Times New Roman"/>
          <w:b w:val="0"/>
          <w:bCs w:val="0"/>
          <w:color w:val="auto"/>
          <w:sz w:val="32"/>
          <w:szCs w:val="32"/>
        </w:rPr>
        <w:t>家</w:t>
      </w:r>
      <w:r>
        <w:rPr>
          <w:rFonts w:hint="default" w:ascii="Times New Roman" w:hAnsi="Times New Roman" w:eastAsia="方正仿宋_GBK" w:cs="Times New Roman"/>
          <w:b w:val="0"/>
          <w:bCs w:val="0"/>
          <w:color w:val="auto"/>
          <w:sz w:val="32"/>
          <w:szCs w:val="32"/>
          <w:u w:val="none"/>
          <w:lang w:val="en-US" w:eastAsia="zh-CN"/>
        </w:rPr>
        <w:t>（含）</w:t>
      </w:r>
      <w:r>
        <w:rPr>
          <w:rFonts w:hint="default" w:ascii="Times New Roman" w:hAnsi="Times New Roman" w:eastAsia="方正仿宋_GBK" w:cs="Times New Roman"/>
          <w:b w:val="0"/>
          <w:bCs w:val="0"/>
          <w:sz w:val="32"/>
          <w:szCs w:val="32"/>
        </w:rPr>
        <w:t>以上</w:t>
      </w:r>
      <w:r>
        <w:rPr>
          <w:rFonts w:hint="default" w:ascii="Times New Roman" w:hAnsi="Times New Roman" w:eastAsia="方正仿宋_GBK" w:cs="Times New Roman"/>
          <w:b w:val="0"/>
          <w:bCs w:val="0"/>
          <w:sz w:val="32"/>
          <w:szCs w:val="32"/>
          <w:lang w:eastAsia="zh-CN"/>
        </w:rPr>
        <w:t>。</w:t>
      </w:r>
    </w:p>
    <w:p w14:paraId="0BDB477A">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（五）具备较为完善的内部风险控制规则及流程。</w:t>
      </w:r>
    </w:p>
    <w:p w14:paraId="5CABC178">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（六）遵守国家法律法规和信用管理部门规定。近一年在税务、外汇、海关管理等方面无重大违法违规行为。</w:t>
      </w:r>
    </w:p>
    <w:p w14:paraId="5E84539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b w:val="0"/>
          <w:bCs w:val="0"/>
          <w:sz w:val="32"/>
          <w:szCs w:val="32"/>
        </w:rPr>
      </w:pPr>
      <w:r>
        <w:rPr>
          <w:rFonts w:hint="default" w:ascii="Times New Roman" w:hAnsi="Times New Roman" w:eastAsia="方正黑体_GBK" w:cs="Times New Roman"/>
          <w:b w:val="0"/>
          <w:bCs w:val="0"/>
          <w:sz w:val="32"/>
          <w:szCs w:val="32"/>
        </w:rPr>
        <w:t>三、申报资料</w:t>
      </w:r>
    </w:p>
    <w:p w14:paraId="35D1CD4A">
      <w:pPr>
        <w:keepNext w:val="0"/>
        <w:keepLines w:val="0"/>
        <w:pageBreakBefore w:val="0"/>
        <w:widowControl w:val="0"/>
        <w:numPr>
          <w:ilvl w:val="0"/>
          <w:numId w:val="0"/>
        </w:numPr>
        <w:tabs>
          <w:tab w:val="left" w:pos="0"/>
        </w:tabs>
        <w:suppressAutoHyphens/>
        <w:kinsoku/>
        <w:wordWrap/>
        <w:overflowPunct/>
        <w:topLinePunct w:val="0"/>
        <w:autoSpaceDE/>
        <w:autoSpaceDN/>
        <w:bidi w:val="0"/>
        <w:adjustRightInd/>
        <w:snapToGrid/>
        <w:spacing w:line="240" w:lineRule="auto"/>
        <w:ind w:left="0" w:leftChars="0" w:right="0" w:rightChars="0" w:firstLine="616" w:firstLineChars="200"/>
        <w:jc w:val="both"/>
        <w:textAlignment w:val="auto"/>
        <w:outlineLvl w:val="9"/>
        <w:rPr>
          <w:rFonts w:hint="default" w:ascii="Times New Roman" w:hAnsi="Times New Roman" w:eastAsia="方正仿宋_GBK" w:cs="Times New Roman"/>
          <w:b w:val="0"/>
          <w:bCs w:val="0"/>
          <w:spacing w:val="-6"/>
          <w:sz w:val="32"/>
          <w:szCs w:val="32"/>
        </w:rPr>
      </w:pPr>
      <w:r>
        <w:rPr>
          <w:rFonts w:hint="default" w:ascii="Times New Roman" w:hAnsi="Times New Roman" w:eastAsia="方正仿宋_GBK" w:cs="Times New Roman"/>
          <w:b w:val="0"/>
          <w:bCs w:val="0"/>
          <w:spacing w:val="-6"/>
          <w:sz w:val="32"/>
          <w:szCs w:val="32"/>
        </w:rPr>
        <w:t>（一）2024年度重庆外贸综合服务试点企业申报表（附件1）。</w:t>
      </w:r>
    </w:p>
    <w:p w14:paraId="6B877355">
      <w:pPr>
        <w:keepNext w:val="0"/>
        <w:keepLines w:val="0"/>
        <w:pageBreakBefore w:val="0"/>
        <w:widowControl w:val="0"/>
        <w:numPr>
          <w:ilvl w:val="0"/>
          <w:numId w:val="0"/>
        </w:numPr>
        <w:tabs>
          <w:tab w:val="left" w:pos="0"/>
        </w:tabs>
        <w:suppressAutoHyphens/>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w:t>
      </w:r>
      <w:r>
        <w:rPr>
          <w:rFonts w:hint="eastAsia" w:ascii="Times New Roman" w:hAnsi="Times New Roman" w:eastAsia="方正仿宋_GBK" w:cs="Times New Roman"/>
          <w:b w:val="0"/>
          <w:bCs w:val="0"/>
          <w:sz w:val="32"/>
          <w:szCs w:val="32"/>
          <w:lang w:eastAsia="zh-CN"/>
        </w:rPr>
        <w:t>二</w:t>
      </w:r>
      <w:r>
        <w:rPr>
          <w:rFonts w:hint="default" w:ascii="Times New Roman" w:hAnsi="Times New Roman" w:eastAsia="方正仿宋_GBK" w:cs="Times New Roman"/>
          <w:b w:val="0"/>
          <w:bCs w:val="0"/>
          <w:sz w:val="32"/>
          <w:szCs w:val="32"/>
        </w:rPr>
        <w:t>）企业营业执照复印件。</w:t>
      </w:r>
    </w:p>
    <w:p w14:paraId="3241904D">
      <w:pPr>
        <w:keepNext w:val="0"/>
        <w:keepLines w:val="0"/>
        <w:pageBreakBefore w:val="0"/>
        <w:widowControl w:val="0"/>
        <w:numPr>
          <w:ilvl w:val="0"/>
          <w:numId w:val="0"/>
        </w:numPr>
        <w:tabs>
          <w:tab w:val="left" w:pos="0"/>
        </w:tabs>
        <w:suppressAutoHyphens/>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w:t>
      </w:r>
      <w:r>
        <w:rPr>
          <w:rFonts w:hint="eastAsia" w:ascii="Times New Roman" w:hAnsi="Times New Roman" w:eastAsia="方正仿宋_GBK" w:cs="Times New Roman"/>
          <w:b w:val="0"/>
          <w:bCs w:val="0"/>
          <w:sz w:val="32"/>
          <w:szCs w:val="32"/>
          <w:lang w:eastAsia="zh-CN"/>
        </w:rPr>
        <w:t>三</w:t>
      </w:r>
      <w:r>
        <w:rPr>
          <w:rFonts w:hint="default" w:ascii="Times New Roman" w:hAnsi="Times New Roman" w:eastAsia="方正仿宋_GBK" w:cs="Times New Roman"/>
          <w:b w:val="0"/>
          <w:bCs w:val="0"/>
          <w:sz w:val="32"/>
          <w:szCs w:val="32"/>
        </w:rPr>
        <w:t>）关、税、汇等监管评级情况及佐证材料。</w:t>
      </w:r>
    </w:p>
    <w:p w14:paraId="1C23C340">
      <w:pPr>
        <w:keepNext w:val="0"/>
        <w:keepLines w:val="0"/>
        <w:pageBreakBefore w:val="0"/>
        <w:widowControl w:val="0"/>
        <w:numPr>
          <w:ilvl w:val="0"/>
          <w:numId w:val="0"/>
        </w:numPr>
        <w:tabs>
          <w:tab w:val="left" w:pos="0"/>
        </w:tabs>
        <w:suppressAutoHyphens/>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w:t>
      </w:r>
      <w:r>
        <w:rPr>
          <w:rFonts w:hint="eastAsia" w:ascii="Times New Roman" w:hAnsi="Times New Roman" w:eastAsia="方正仿宋_GBK" w:cs="Times New Roman"/>
          <w:b w:val="0"/>
          <w:bCs w:val="0"/>
          <w:sz w:val="32"/>
          <w:szCs w:val="32"/>
          <w:lang w:eastAsia="zh-CN"/>
        </w:rPr>
        <w:t>四</w:t>
      </w:r>
      <w:r>
        <w:rPr>
          <w:rFonts w:hint="default" w:ascii="Times New Roman" w:hAnsi="Times New Roman" w:eastAsia="方正仿宋_GBK" w:cs="Times New Roman"/>
          <w:b w:val="0"/>
          <w:bCs w:val="0"/>
          <w:sz w:val="32"/>
          <w:szCs w:val="32"/>
        </w:rPr>
        <w:t>）企业上一年度财务报表。</w:t>
      </w:r>
    </w:p>
    <w:p w14:paraId="196EBAE1">
      <w:pPr>
        <w:keepNext w:val="0"/>
        <w:keepLines w:val="0"/>
        <w:pageBreakBefore w:val="0"/>
        <w:widowControl w:val="0"/>
        <w:numPr>
          <w:ilvl w:val="0"/>
          <w:numId w:val="0"/>
        </w:numPr>
        <w:tabs>
          <w:tab w:val="left" w:pos="0"/>
        </w:tabs>
        <w:suppressAutoHyphens/>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w:t>
      </w:r>
      <w:r>
        <w:rPr>
          <w:rFonts w:hint="eastAsia" w:ascii="Times New Roman" w:hAnsi="Times New Roman" w:eastAsia="方正仿宋_GBK" w:cs="Times New Roman"/>
          <w:b w:val="0"/>
          <w:bCs w:val="0"/>
          <w:sz w:val="32"/>
          <w:szCs w:val="32"/>
          <w:lang w:eastAsia="zh-CN"/>
        </w:rPr>
        <w:t>五</w:t>
      </w:r>
      <w:r>
        <w:rPr>
          <w:rFonts w:hint="default" w:ascii="Times New Roman" w:hAnsi="Times New Roman" w:eastAsia="方正仿宋_GBK" w:cs="Times New Roman"/>
          <w:b w:val="0"/>
          <w:bCs w:val="0"/>
          <w:sz w:val="32"/>
          <w:szCs w:val="32"/>
        </w:rPr>
        <w:t>）提供服务的市场主体清单及合同（协议）。如服务的市场主体有海关代码应同时提供海关代码。</w:t>
      </w:r>
    </w:p>
    <w:p w14:paraId="19450605">
      <w:pPr>
        <w:keepNext w:val="0"/>
        <w:keepLines w:val="0"/>
        <w:pageBreakBefore w:val="0"/>
        <w:widowControl w:val="0"/>
        <w:numPr>
          <w:ilvl w:val="0"/>
          <w:numId w:val="0"/>
        </w:numPr>
        <w:tabs>
          <w:tab w:val="left" w:pos="0"/>
        </w:tabs>
        <w:suppressAutoHyphens/>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w:t>
      </w:r>
      <w:r>
        <w:rPr>
          <w:rFonts w:hint="eastAsia" w:ascii="Times New Roman" w:hAnsi="Times New Roman" w:eastAsia="方正仿宋_GBK" w:cs="Times New Roman"/>
          <w:b w:val="0"/>
          <w:bCs w:val="0"/>
          <w:sz w:val="32"/>
          <w:szCs w:val="32"/>
          <w:lang w:eastAsia="zh-CN"/>
        </w:rPr>
        <w:t>六</w:t>
      </w:r>
      <w:r>
        <w:rPr>
          <w:rFonts w:hint="default" w:ascii="Times New Roman" w:hAnsi="Times New Roman" w:eastAsia="方正仿宋_GBK" w:cs="Times New Roman"/>
          <w:b w:val="0"/>
          <w:bCs w:val="0"/>
          <w:sz w:val="32"/>
          <w:szCs w:val="32"/>
        </w:rPr>
        <w:t>）为市场主体提供各类服务的证明材料</w:t>
      </w:r>
      <w:r>
        <w:rPr>
          <w:rFonts w:hint="default" w:ascii="Times New Roman" w:hAnsi="Times New Roman" w:eastAsia="方正仿宋_GBK" w:cs="Times New Roman"/>
          <w:b w:val="0"/>
          <w:bCs w:val="0"/>
          <w:sz w:val="32"/>
          <w:szCs w:val="32"/>
          <w:highlight w:val="none"/>
          <w:u w:val="none"/>
          <w:lang w:eastAsia="zh-CN"/>
        </w:rPr>
        <w:t>（</w:t>
      </w:r>
      <w:r>
        <w:rPr>
          <w:rFonts w:hint="default" w:ascii="Times New Roman" w:hAnsi="Times New Roman" w:eastAsia="方正仿宋_GBK" w:cs="Times New Roman"/>
          <w:b w:val="0"/>
          <w:bCs w:val="0"/>
          <w:sz w:val="32"/>
          <w:szCs w:val="32"/>
          <w:highlight w:val="none"/>
          <w:u w:val="none"/>
          <w:lang w:val="en-US" w:eastAsia="zh-CN"/>
        </w:rPr>
        <w:t>包括但不限于与第三方服务商签订的合同等）</w:t>
      </w:r>
      <w:r>
        <w:rPr>
          <w:rFonts w:hint="default" w:ascii="Times New Roman" w:hAnsi="Times New Roman" w:eastAsia="方正仿宋_GBK" w:cs="Times New Roman"/>
          <w:b w:val="0"/>
          <w:bCs w:val="0"/>
          <w:sz w:val="32"/>
          <w:szCs w:val="32"/>
        </w:rPr>
        <w:t>。</w:t>
      </w:r>
    </w:p>
    <w:p w14:paraId="35E1334A">
      <w:pPr>
        <w:keepNext w:val="0"/>
        <w:keepLines w:val="0"/>
        <w:pageBreakBefore w:val="0"/>
        <w:widowControl w:val="0"/>
        <w:numPr>
          <w:ilvl w:val="0"/>
          <w:numId w:val="0"/>
        </w:numPr>
        <w:tabs>
          <w:tab w:val="left" w:pos="0"/>
        </w:tabs>
        <w:suppressAutoHyphens/>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w:t>
      </w:r>
      <w:r>
        <w:rPr>
          <w:rFonts w:hint="eastAsia" w:ascii="Times New Roman" w:hAnsi="Times New Roman" w:eastAsia="方正仿宋_GBK" w:cs="Times New Roman"/>
          <w:b w:val="0"/>
          <w:bCs w:val="0"/>
          <w:sz w:val="32"/>
          <w:szCs w:val="32"/>
          <w:lang w:eastAsia="zh-CN"/>
        </w:rPr>
        <w:t>七</w:t>
      </w:r>
      <w:r>
        <w:rPr>
          <w:rFonts w:hint="default" w:ascii="Times New Roman" w:hAnsi="Times New Roman" w:eastAsia="方正仿宋_GBK" w:cs="Times New Roman"/>
          <w:b w:val="0"/>
          <w:bCs w:val="0"/>
          <w:sz w:val="32"/>
          <w:szCs w:val="32"/>
        </w:rPr>
        <w:t>）企业具有专业化外贸服务团队佐证材料（包括不低于5人的社会保险参保证明）。</w:t>
      </w:r>
    </w:p>
    <w:p w14:paraId="4A2434B2">
      <w:pPr>
        <w:keepNext w:val="0"/>
        <w:keepLines w:val="0"/>
        <w:pageBreakBefore w:val="0"/>
        <w:widowControl w:val="0"/>
        <w:numPr>
          <w:ilvl w:val="0"/>
          <w:numId w:val="0"/>
        </w:numPr>
        <w:tabs>
          <w:tab w:val="left" w:pos="0"/>
        </w:tabs>
        <w:suppressAutoHyphens/>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b w:val="0"/>
          <w:bCs w:val="0"/>
          <w:spacing w:val="0"/>
          <w:sz w:val="32"/>
          <w:szCs w:val="32"/>
        </w:rPr>
      </w:pPr>
      <w:r>
        <w:rPr>
          <w:rFonts w:hint="default" w:ascii="Times New Roman" w:hAnsi="Times New Roman" w:eastAsia="方正仿宋_GBK" w:cs="Times New Roman"/>
          <w:b w:val="0"/>
          <w:bCs w:val="0"/>
          <w:sz w:val="32"/>
          <w:szCs w:val="32"/>
        </w:rPr>
        <w:t>（</w:t>
      </w:r>
      <w:r>
        <w:rPr>
          <w:rFonts w:hint="eastAsia" w:ascii="Times New Roman" w:hAnsi="Times New Roman" w:eastAsia="方正仿宋_GBK" w:cs="Times New Roman"/>
          <w:b w:val="0"/>
          <w:bCs w:val="0"/>
          <w:sz w:val="32"/>
          <w:szCs w:val="32"/>
          <w:lang w:eastAsia="zh-CN"/>
        </w:rPr>
        <w:t>八</w:t>
      </w:r>
      <w:r>
        <w:rPr>
          <w:rFonts w:hint="default" w:ascii="Times New Roman" w:hAnsi="Times New Roman" w:eastAsia="方正仿宋_GBK" w:cs="Times New Roman"/>
          <w:b w:val="0"/>
          <w:bCs w:val="0"/>
          <w:sz w:val="32"/>
          <w:szCs w:val="32"/>
        </w:rPr>
        <w:t>）</w:t>
      </w:r>
      <w:r>
        <w:rPr>
          <w:rFonts w:hint="default" w:ascii="Times New Roman" w:hAnsi="Times New Roman" w:eastAsia="方正仿宋_GBK" w:cs="Times New Roman"/>
          <w:b w:val="0"/>
          <w:bCs w:val="0"/>
          <w:spacing w:val="0"/>
          <w:sz w:val="32"/>
          <w:szCs w:val="32"/>
        </w:rPr>
        <w:t>企业外贸综合服务信息平台主要功能模块说明及运行情况。</w:t>
      </w:r>
    </w:p>
    <w:p w14:paraId="47C519CF">
      <w:pPr>
        <w:keepNext w:val="0"/>
        <w:keepLines w:val="0"/>
        <w:pageBreakBefore w:val="0"/>
        <w:widowControl w:val="0"/>
        <w:numPr>
          <w:ilvl w:val="0"/>
          <w:numId w:val="0"/>
        </w:numPr>
        <w:tabs>
          <w:tab w:val="left" w:pos="0"/>
        </w:tabs>
        <w:suppressAutoHyphens/>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b w:val="0"/>
          <w:bCs w:val="0"/>
          <w:spacing w:val="-6"/>
          <w:sz w:val="32"/>
          <w:szCs w:val="32"/>
        </w:rPr>
      </w:pPr>
      <w:r>
        <w:rPr>
          <w:rFonts w:hint="default" w:ascii="Times New Roman" w:hAnsi="Times New Roman" w:eastAsia="方正仿宋_GBK" w:cs="Times New Roman"/>
          <w:b w:val="0"/>
          <w:bCs w:val="0"/>
          <w:sz w:val="32"/>
          <w:szCs w:val="32"/>
        </w:rPr>
        <w:t>（</w:t>
      </w:r>
      <w:r>
        <w:rPr>
          <w:rFonts w:hint="eastAsia" w:ascii="Times New Roman" w:hAnsi="Times New Roman" w:eastAsia="方正仿宋_GBK" w:cs="Times New Roman"/>
          <w:b w:val="0"/>
          <w:bCs w:val="0"/>
          <w:sz w:val="32"/>
          <w:szCs w:val="32"/>
          <w:lang w:eastAsia="zh-CN"/>
        </w:rPr>
        <w:t>九</w:t>
      </w:r>
      <w:r>
        <w:rPr>
          <w:rFonts w:hint="default" w:ascii="Times New Roman" w:hAnsi="Times New Roman" w:eastAsia="方正仿宋_GBK" w:cs="Times New Roman"/>
          <w:b w:val="0"/>
          <w:bCs w:val="0"/>
          <w:sz w:val="32"/>
          <w:szCs w:val="32"/>
        </w:rPr>
        <w:t>）</w:t>
      </w:r>
      <w:r>
        <w:rPr>
          <w:rFonts w:hint="default" w:ascii="Times New Roman" w:hAnsi="Times New Roman" w:eastAsia="方正仿宋_GBK" w:cs="Times New Roman"/>
          <w:b w:val="0"/>
          <w:bCs w:val="0"/>
          <w:spacing w:val="-6"/>
          <w:sz w:val="32"/>
          <w:szCs w:val="32"/>
        </w:rPr>
        <w:t>企业外贸综合服务开展情况报告（包括组织架构、主要业务内容、核心优势、规模成效、风控机制、存在问题及规划目标）。</w:t>
      </w:r>
    </w:p>
    <w:p w14:paraId="6202250E">
      <w:pPr>
        <w:keepNext w:val="0"/>
        <w:keepLines w:val="0"/>
        <w:pageBreakBefore w:val="0"/>
        <w:widowControl w:val="0"/>
        <w:numPr>
          <w:ilvl w:val="0"/>
          <w:numId w:val="0"/>
        </w:numPr>
        <w:tabs>
          <w:tab w:val="left" w:pos="0"/>
        </w:tabs>
        <w:suppressAutoHyphens/>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w:t>
      </w:r>
      <w:r>
        <w:rPr>
          <w:rFonts w:hint="eastAsia" w:ascii="Times New Roman" w:hAnsi="Times New Roman" w:eastAsia="方正仿宋_GBK" w:cs="Times New Roman"/>
          <w:b w:val="0"/>
          <w:bCs w:val="0"/>
          <w:sz w:val="32"/>
          <w:szCs w:val="32"/>
          <w:lang w:eastAsia="zh-CN"/>
        </w:rPr>
        <w:t>十</w:t>
      </w:r>
      <w:r>
        <w:rPr>
          <w:rFonts w:hint="default" w:ascii="Times New Roman" w:hAnsi="Times New Roman" w:eastAsia="方正仿宋_GBK" w:cs="Times New Roman"/>
          <w:b w:val="0"/>
          <w:bCs w:val="0"/>
          <w:sz w:val="32"/>
          <w:szCs w:val="32"/>
        </w:rPr>
        <w:t>）申报材料真实性承诺书（附件2）。</w:t>
      </w:r>
    </w:p>
    <w:p w14:paraId="4133203E">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四、认定程序</w:t>
      </w:r>
    </w:p>
    <w:p w14:paraId="05E941F8">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申报企业将认定所需材料纸质件一式五份按申报材料列明的顺序进行装订，同电子件一起交所在区县商务主管部门，区县商务主管部门会同相关部门初审后</w:t>
      </w:r>
      <w:r>
        <w:rPr>
          <w:rFonts w:hint="default" w:ascii="Times New Roman" w:hAnsi="Times New Roman" w:eastAsia="方正仿宋_GBK" w:cs="Times New Roman"/>
          <w:b w:val="0"/>
          <w:bCs w:val="0"/>
          <w:sz w:val="32"/>
          <w:szCs w:val="32"/>
          <w:lang w:val="en-US" w:eastAsia="zh-CN"/>
        </w:rPr>
        <w:t>报</w:t>
      </w:r>
      <w:r>
        <w:rPr>
          <w:rFonts w:hint="default" w:ascii="Times New Roman" w:hAnsi="Times New Roman" w:eastAsia="方正仿宋_GBK" w:cs="Times New Roman"/>
          <w:b w:val="0"/>
          <w:bCs w:val="0"/>
          <w:sz w:val="32"/>
          <w:szCs w:val="32"/>
        </w:rPr>
        <w:t>至市商务委外贸促进处。市商务委</w:t>
      </w:r>
      <w:r>
        <w:rPr>
          <w:rFonts w:hint="default" w:ascii="Times New Roman" w:hAnsi="Times New Roman" w:eastAsia="方正仿宋_GBK" w:cs="Times New Roman"/>
          <w:b w:val="0"/>
          <w:bCs w:val="0"/>
          <w:sz w:val="32"/>
          <w:szCs w:val="32"/>
          <w:lang w:val="en-US" w:eastAsia="zh-CN"/>
        </w:rPr>
        <w:t>联合</w:t>
      </w:r>
      <w:r>
        <w:rPr>
          <w:rFonts w:hint="default" w:ascii="Times New Roman" w:hAnsi="Times New Roman" w:eastAsia="方正仿宋_GBK" w:cs="Times New Roman"/>
          <w:b w:val="0"/>
          <w:bCs w:val="0"/>
          <w:sz w:val="32"/>
          <w:szCs w:val="32"/>
        </w:rPr>
        <w:t>重庆海关、重庆市税务局、</w:t>
      </w:r>
      <w:r>
        <w:rPr>
          <w:rFonts w:hint="default" w:ascii="Times New Roman" w:hAnsi="Times New Roman" w:eastAsia="方正仿宋_GBK" w:cs="Times New Roman"/>
          <w:b w:val="0"/>
          <w:bCs w:val="0"/>
          <w:sz w:val="32"/>
          <w:szCs w:val="32"/>
          <w:lang w:eastAsia="zh-CN"/>
        </w:rPr>
        <w:t>国家外汇管理局重庆市分局</w:t>
      </w:r>
      <w:r>
        <w:rPr>
          <w:rFonts w:hint="default" w:ascii="Times New Roman" w:hAnsi="Times New Roman" w:eastAsia="方正仿宋_GBK" w:cs="Times New Roman"/>
          <w:b w:val="0"/>
          <w:bCs w:val="0"/>
          <w:sz w:val="32"/>
          <w:szCs w:val="32"/>
        </w:rPr>
        <w:t>、中国信保重庆分公司等部门</w:t>
      </w:r>
      <w:r>
        <w:rPr>
          <w:rFonts w:hint="default" w:ascii="Times New Roman" w:hAnsi="Times New Roman" w:eastAsia="方正仿宋_GBK" w:cs="Times New Roman"/>
          <w:b w:val="0"/>
          <w:bCs w:val="0"/>
          <w:sz w:val="32"/>
          <w:szCs w:val="32"/>
          <w:lang w:val="en-US" w:eastAsia="zh-CN"/>
        </w:rPr>
        <w:t>对企业的申报材料进行评审认定</w:t>
      </w:r>
      <w:r>
        <w:rPr>
          <w:rFonts w:hint="default" w:ascii="Times New Roman" w:hAnsi="Times New Roman" w:eastAsia="方正仿宋_GBK" w:cs="Times New Roman"/>
          <w:b w:val="0"/>
          <w:bCs w:val="0"/>
          <w:sz w:val="32"/>
          <w:szCs w:val="32"/>
          <w:lang w:eastAsia="zh-CN"/>
        </w:rPr>
        <w:t>。</w:t>
      </w:r>
      <w:r>
        <w:rPr>
          <w:rFonts w:hint="default" w:ascii="Times New Roman" w:hAnsi="Times New Roman" w:eastAsia="方正仿宋_GBK" w:cs="Times New Roman"/>
          <w:b w:val="0"/>
          <w:bCs w:val="0"/>
          <w:sz w:val="32"/>
          <w:szCs w:val="32"/>
          <w:lang w:val="en-US" w:eastAsia="zh-CN"/>
        </w:rPr>
        <w:t>评审结束后，市商务委对入选企业名单进行公示。公示期结束且无异议的</w:t>
      </w:r>
      <w:r>
        <w:rPr>
          <w:rFonts w:hint="default" w:ascii="Times New Roman" w:hAnsi="Times New Roman" w:eastAsia="方正仿宋_GBK" w:cs="Times New Roman"/>
          <w:b w:val="0"/>
          <w:bCs w:val="0"/>
          <w:sz w:val="32"/>
          <w:szCs w:val="32"/>
        </w:rPr>
        <w:t>，由市商务委公布认定企业名单。</w:t>
      </w:r>
    </w:p>
    <w:p w14:paraId="15D0C8EB">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五、动态管理</w:t>
      </w:r>
    </w:p>
    <w:p w14:paraId="68550387">
      <w:pPr>
        <w:keepNext w:val="0"/>
        <w:keepLines w:val="0"/>
        <w:pageBreakBefore w:val="0"/>
        <w:widowControl w:val="0"/>
        <w:numPr>
          <w:ilvl w:val="0"/>
          <w:numId w:val="2"/>
        </w:numPr>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认定工作每年开展一次，获得认定的</w:t>
      </w:r>
      <w:r>
        <w:rPr>
          <w:rFonts w:hint="default" w:ascii="Times New Roman" w:hAnsi="Times New Roman" w:eastAsia="方正仿宋_GBK" w:cs="Times New Roman"/>
          <w:b w:val="0"/>
          <w:bCs w:val="0"/>
          <w:sz w:val="32"/>
          <w:szCs w:val="32"/>
          <w:lang w:val="en-US" w:eastAsia="zh-CN"/>
        </w:rPr>
        <w:t>外综服</w:t>
      </w:r>
      <w:r>
        <w:rPr>
          <w:rFonts w:hint="default" w:ascii="Times New Roman" w:hAnsi="Times New Roman" w:eastAsia="方正仿宋_GBK" w:cs="Times New Roman"/>
          <w:b w:val="0"/>
          <w:bCs w:val="0"/>
          <w:sz w:val="32"/>
          <w:szCs w:val="32"/>
        </w:rPr>
        <w:t>企业，根据联合促进措施的相关要求予以支持。</w:t>
      </w:r>
    </w:p>
    <w:p w14:paraId="77D29872">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（二）</w:t>
      </w:r>
      <w:r>
        <w:rPr>
          <w:rFonts w:hint="default" w:ascii="Times New Roman" w:hAnsi="Times New Roman" w:eastAsia="方正仿宋_GBK" w:cs="Times New Roman"/>
          <w:b w:val="0"/>
          <w:bCs w:val="0"/>
          <w:sz w:val="32"/>
          <w:szCs w:val="32"/>
          <w:lang w:eastAsia="zh-CN"/>
        </w:rPr>
        <w:t>认定有效期内，</w:t>
      </w:r>
      <w:r>
        <w:rPr>
          <w:rFonts w:hint="default" w:ascii="Times New Roman" w:hAnsi="Times New Roman" w:eastAsia="方正仿宋_GBK" w:cs="Times New Roman"/>
          <w:b w:val="0"/>
          <w:bCs w:val="0"/>
          <w:sz w:val="32"/>
          <w:szCs w:val="32"/>
          <w:lang w:val="en-US" w:eastAsia="zh-CN"/>
        </w:rPr>
        <w:t>外综服</w:t>
      </w:r>
      <w:r>
        <w:rPr>
          <w:rFonts w:hint="default" w:ascii="Times New Roman" w:hAnsi="Times New Roman" w:eastAsia="方正仿宋_GBK" w:cs="Times New Roman"/>
          <w:b w:val="0"/>
          <w:bCs w:val="0"/>
          <w:sz w:val="32"/>
          <w:szCs w:val="32"/>
        </w:rPr>
        <w:t>企业如出现提供虚假申报证明材料、经营状况重大波动、重大违法违规行为、未及时报送运行情况的，将被取消认定资格</w:t>
      </w:r>
      <w:r>
        <w:rPr>
          <w:rFonts w:hint="default" w:ascii="Times New Roman" w:hAnsi="Times New Roman" w:eastAsia="方正仿宋_GBK" w:cs="Times New Roman"/>
          <w:b w:val="0"/>
          <w:bCs w:val="0"/>
          <w:sz w:val="32"/>
          <w:szCs w:val="32"/>
          <w:lang w:eastAsia="zh-CN"/>
        </w:rPr>
        <w:t>及奖励资金</w:t>
      </w:r>
      <w:r>
        <w:rPr>
          <w:rFonts w:hint="default" w:ascii="Times New Roman" w:hAnsi="Times New Roman" w:eastAsia="方正仿宋_GBK" w:cs="Times New Roman"/>
          <w:b w:val="0"/>
          <w:bCs w:val="0"/>
          <w:sz w:val="32"/>
          <w:szCs w:val="32"/>
        </w:rPr>
        <w:t>。</w:t>
      </w:r>
    </w:p>
    <w:p w14:paraId="5DBA8556">
      <w:pPr>
        <w:pStyle w:val="2"/>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textAlignment w:val="auto"/>
        <w:rPr>
          <w:rFonts w:hint="default" w:ascii="Times New Roman" w:hAnsi="Times New Roman" w:cs="Times New Roman"/>
          <w:b w:val="0"/>
          <w:bCs w:val="0"/>
          <w:szCs w:val="32"/>
          <w:lang w:val="en-US" w:eastAsia="en-US"/>
        </w:rPr>
      </w:pPr>
    </w:p>
    <w:p w14:paraId="27649FD0">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附件：1</w:t>
      </w:r>
      <w:r>
        <w:rPr>
          <w:rFonts w:hint="default" w:ascii="Times New Roman" w:hAnsi="Times New Roman" w:eastAsia="方正仿宋_GBK" w:cs="Times New Roman"/>
          <w:b w:val="0"/>
          <w:bCs w:val="0"/>
          <w:sz w:val="32"/>
          <w:szCs w:val="32"/>
          <w:lang w:val="en-US" w:eastAsia="zh-CN"/>
        </w:rPr>
        <w:t xml:space="preserve">. </w:t>
      </w:r>
      <w:r>
        <w:rPr>
          <w:rFonts w:hint="default" w:ascii="Times New Roman" w:hAnsi="Times New Roman" w:eastAsia="方正仿宋_GBK" w:cs="Times New Roman"/>
          <w:b w:val="0"/>
          <w:bCs w:val="0"/>
          <w:sz w:val="32"/>
          <w:szCs w:val="32"/>
        </w:rPr>
        <w:t>重庆外贸综合服务试点企业申报表</w:t>
      </w:r>
    </w:p>
    <w:p w14:paraId="0C0EA202">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1600" w:leftChars="0" w:right="0" w:rightChars="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申报材料真实性承诺书</w:t>
      </w:r>
    </w:p>
    <w:p w14:paraId="47A4262F">
      <w:pPr>
        <w:keepNext w:val="0"/>
        <w:keepLines w:val="0"/>
        <w:pageBreakBefore w:val="0"/>
        <w:widowControl w:val="0"/>
        <w:kinsoku/>
        <w:wordWrap/>
        <w:overflowPunct/>
        <w:topLinePunct w:val="0"/>
        <w:autoSpaceDE/>
        <w:autoSpaceDN/>
        <w:bidi w:val="0"/>
        <w:adjustRightInd/>
        <w:snapToGrid/>
        <w:spacing w:line="240" w:lineRule="auto"/>
        <w:ind w:right="0" w:rightChars="0"/>
        <w:textAlignment w:val="auto"/>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附件1</w:t>
      </w:r>
    </w:p>
    <w:p w14:paraId="1567EF35">
      <w:pPr>
        <w:widowControl/>
        <w:jc w:val="center"/>
        <w:rPr>
          <w:rFonts w:hint="default" w:ascii="Times New Roman" w:hAnsi="Times New Roman" w:eastAsia="方正仿宋_GBK" w:cs="Times New Roman"/>
          <w:b w:val="0"/>
          <w:bCs w:val="0"/>
          <w:kern w:val="0"/>
          <w:sz w:val="44"/>
          <w:szCs w:val="44"/>
        </w:rPr>
      </w:pPr>
      <w:r>
        <w:rPr>
          <w:rStyle w:val="5"/>
          <w:rFonts w:hint="default" w:ascii="Times New Roman" w:hAnsi="Times New Roman" w:cs="Times New Roman"/>
          <w:b w:val="0"/>
          <w:bCs w:val="0"/>
          <w:sz w:val="44"/>
          <w:szCs w:val="44"/>
          <w:lang w:bidi="ar"/>
        </w:rPr>
        <w:t>重庆外贸综合服务企业</w:t>
      </w:r>
      <w:r>
        <w:rPr>
          <w:rStyle w:val="5"/>
          <w:rFonts w:hint="default" w:ascii="Times New Roman" w:hAnsi="Times New Roman" w:eastAsia="方正小标宋_GBK" w:cs="Times New Roman"/>
          <w:b w:val="0"/>
          <w:bCs w:val="0"/>
          <w:sz w:val="44"/>
          <w:szCs w:val="44"/>
          <w:lang w:val="en-US" w:eastAsia="zh-CN" w:bidi="ar"/>
        </w:rPr>
        <w:t>申报</w:t>
      </w:r>
      <w:r>
        <w:rPr>
          <w:rStyle w:val="5"/>
          <w:rFonts w:hint="default" w:ascii="Times New Roman" w:hAnsi="Times New Roman" w:cs="Times New Roman"/>
          <w:b w:val="0"/>
          <w:bCs w:val="0"/>
          <w:sz w:val="44"/>
          <w:szCs w:val="44"/>
          <w:lang w:bidi="ar"/>
        </w:rPr>
        <w:t>表</w:t>
      </w:r>
    </w:p>
    <w:tbl>
      <w:tblPr>
        <w:tblStyle w:val="3"/>
        <w:tblW w:w="0" w:type="auto"/>
        <w:jc w:val="center"/>
        <w:tblLayout w:type="fixed"/>
        <w:tblCellMar>
          <w:top w:w="15" w:type="dxa"/>
          <w:left w:w="15" w:type="dxa"/>
          <w:bottom w:w="15" w:type="dxa"/>
          <w:right w:w="15" w:type="dxa"/>
        </w:tblCellMar>
      </w:tblPr>
      <w:tblGrid>
        <w:gridCol w:w="1158"/>
        <w:gridCol w:w="1159"/>
        <w:gridCol w:w="993"/>
        <w:gridCol w:w="994"/>
        <w:gridCol w:w="296"/>
        <w:gridCol w:w="862"/>
        <w:gridCol w:w="1130"/>
        <w:gridCol w:w="1142"/>
        <w:gridCol w:w="2259"/>
      </w:tblGrid>
      <w:tr w14:paraId="467AE822">
        <w:tblPrEx>
          <w:tblCellMar>
            <w:top w:w="15" w:type="dxa"/>
            <w:left w:w="15" w:type="dxa"/>
            <w:bottom w:w="15" w:type="dxa"/>
            <w:right w:w="15" w:type="dxa"/>
          </w:tblCellMar>
        </w:tblPrEx>
        <w:trPr>
          <w:trHeight w:val="940" w:hRule="atLeast"/>
          <w:jc w:val="center"/>
        </w:trPr>
        <w:tc>
          <w:tcPr>
            <w:tcW w:w="1158" w:type="dxa"/>
            <w:tcBorders>
              <w:top w:val="single" w:color="000000" w:sz="4" w:space="0"/>
              <w:left w:val="single" w:color="000000" w:sz="4" w:space="0"/>
              <w:bottom w:val="single" w:color="000000" w:sz="4" w:space="0"/>
              <w:right w:val="single" w:color="000000" w:sz="4" w:space="0"/>
            </w:tcBorders>
            <w:noWrap w:val="0"/>
            <w:vAlign w:val="center"/>
          </w:tcPr>
          <w:p w14:paraId="7D33F565">
            <w:pPr>
              <w:widowControl/>
              <w:snapToGrid w:val="0"/>
              <w:jc w:val="center"/>
              <w:textAlignment w:val="center"/>
              <w:rPr>
                <w:rFonts w:hint="default" w:ascii="Times New Roman" w:hAnsi="Times New Roman" w:eastAsia="方正黑体_GBK" w:cs="Times New Roman"/>
                <w:b w:val="0"/>
                <w:bCs w:val="0"/>
                <w:color w:val="000000"/>
                <w:sz w:val="24"/>
              </w:rPr>
            </w:pPr>
            <w:r>
              <w:rPr>
                <w:rFonts w:hint="default" w:ascii="Times New Roman" w:hAnsi="Times New Roman" w:eastAsia="方正黑体_GBK" w:cs="Times New Roman"/>
                <w:b w:val="0"/>
                <w:bCs w:val="0"/>
                <w:color w:val="000000"/>
                <w:kern w:val="0"/>
                <w:sz w:val="24"/>
                <w:lang w:bidi="ar"/>
              </w:rPr>
              <w:t>企业名称</w:t>
            </w:r>
          </w:p>
        </w:tc>
        <w:tc>
          <w:tcPr>
            <w:tcW w:w="3146" w:type="dxa"/>
            <w:gridSpan w:val="3"/>
            <w:tcBorders>
              <w:top w:val="single" w:color="000000" w:sz="4" w:space="0"/>
              <w:left w:val="single" w:color="000000" w:sz="4" w:space="0"/>
              <w:bottom w:val="single" w:color="000000" w:sz="4" w:space="0"/>
              <w:right w:val="single" w:color="000000" w:sz="4" w:space="0"/>
            </w:tcBorders>
            <w:noWrap w:val="0"/>
            <w:vAlign w:val="top"/>
          </w:tcPr>
          <w:p w14:paraId="3D54C6EF">
            <w:pPr>
              <w:widowControl/>
              <w:snapToGrid w:val="0"/>
              <w:jc w:val="center"/>
              <w:rPr>
                <w:rFonts w:hint="default" w:ascii="Times New Roman" w:hAnsi="Times New Roman" w:eastAsia="方正仿宋_GBK" w:cs="Times New Roman"/>
                <w:b w:val="0"/>
                <w:bCs w:val="0"/>
                <w:color w:val="000000"/>
                <w:sz w:val="24"/>
              </w:rPr>
            </w:pPr>
          </w:p>
        </w:tc>
        <w:tc>
          <w:tcPr>
            <w:tcW w:w="1158" w:type="dxa"/>
            <w:gridSpan w:val="2"/>
            <w:tcBorders>
              <w:top w:val="single" w:color="000000" w:sz="4" w:space="0"/>
              <w:left w:val="single" w:color="000000" w:sz="4" w:space="0"/>
              <w:bottom w:val="single" w:color="000000" w:sz="4" w:space="0"/>
              <w:right w:val="single" w:color="000000" w:sz="4" w:space="0"/>
            </w:tcBorders>
            <w:noWrap w:val="0"/>
            <w:vAlign w:val="center"/>
          </w:tcPr>
          <w:p w14:paraId="52F5454F">
            <w:pPr>
              <w:widowControl/>
              <w:snapToGrid w:val="0"/>
              <w:jc w:val="center"/>
              <w:textAlignment w:val="center"/>
              <w:rPr>
                <w:rFonts w:hint="default" w:ascii="Times New Roman" w:hAnsi="Times New Roman" w:eastAsia="方正黑体_GBK" w:cs="Times New Roman"/>
                <w:b w:val="0"/>
                <w:bCs w:val="0"/>
                <w:color w:val="000000"/>
                <w:sz w:val="24"/>
              </w:rPr>
            </w:pPr>
            <w:r>
              <w:rPr>
                <w:rFonts w:hint="default" w:ascii="Times New Roman" w:hAnsi="Times New Roman" w:eastAsia="方正黑体_GBK" w:cs="Times New Roman"/>
                <w:b w:val="0"/>
                <w:bCs w:val="0"/>
                <w:color w:val="000000"/>
                <w:kern w:val="0"/>
                <w:sz w:val="24"/>
                <w:lang w:bidi="ar"/>
              </w:rPr>
              <w:t>所在区县</w:t>
            </w:r>
          </w:p>
        </w:tc>
        <w:tc>
          <w:tcPr>
            <w:tcW w:w="1130" w:type="dxa"/>
            <w:tcBorders>
              <w:top w:val="single" w:color="000000" w:sz="4" w:space="0"/>
              <w:left w:val="single" w:color="000000" w:sz="4" w:space="0"/>
              <w:bottom w:val="single" w:color="000000" w:sz="4" w:space="0"/>
              <w:right w:val="single" w:color="000000" w:sz="4" w:space="0"/>
            </w:tcBorders>
            <w:noWrap w:val="0"/>
            <w:vAlign w:val="top"/>
          </w:tcPr>
          <w:p w14:paraId="7D29CCF0">
            <w:pPr>
              <w:widowControl/>
              <w:snapToGrid w:val="0"/>
              <w:jc w:val="center"/>
              <w:rPr>
                <w:rFonts w:hint="default" w:ascii="Times New Roman" w:hAnsi="Times New Roman" w:eastAsia="方正仿宋_GBK" w:cs="Times New Roman"/>
                <w:b w:val="0"/>
                <w:bCs w:val="0"/>
                <w:color w:val="000000"/>
                <w:sz w:val="24"/>
              </w:rPr>
            </w:pPr>
          </w:p>
        </w:tc>
        <w:tc>
          <w:tcPr>
            <w:tcW w:w="1142" w:type="dxa"/>
            <w:tcBorders>
              <w:top w:val="single" w:color="000000" w:sz="4" w:space="0"/>
              <w:left w:val="single" w:color="000000" w:sz="4" w:space="0"/>
              <w:bottom w:val="single" w:color="000000" w:sz="4" w:space="0"/>
              <w:right w:val="single" w:color="000000" w:sz="4" w:space="0"/>
            </w:tcBorders>
            <w:noWrap w:val="0"/>
            <w:vAlign w:val="center"/>
          </w:tcPr>
          <w:p w14:paraId="3A9E3A51">
            <w:pPr>
              <w:widowControl/>
              <w:snapToGrid w:val="0"/>
              <w:jc w:val="center"/>
              <w:textAlignment w:val="center"/>
              <w:rPr>
                <w:rFonts w:hint="default" w:ascii="Times New Roman" w:hAnsi="Times New Roman" w:eastAsia="方正黑体_GBK" w:cs="Times New Roman"/>
                <w:b w:val="0"/>
                <w:bCs w:val="0"/>
                <w:color w:val="000000"/>
                <w:sz w:val="24"/>
              </w:rPr>
            </w:pPr>
            <w:r>
              <w:rPr>
                <w:rFonts w:hint="default" w:ascii="Times New Roman" w:hAnsi="Times New Roman" w:eastAsia="方正黑体_GBK" w:cs="Times New Roman"/>
                <w:b w:val="0"/>
                <w:bCs w:val="0"/>
                <w:color w:val="000000"/>
                <w:kern w:val="0"/>
                <w:sz w:val="24"/>
                <w:lang w:bidi="ar"/>
              </w:rPr>
              <w:t>海关代码</w:t>
            </w:r>
          </w:p>
        </w:tc>
        <w:tc>
          <w:tcPr>
            <w:tcW w:w="2259" w:type="dxa"/>
            <w:tcBorders>
              <w:top w:val="single" w:color="000000" w:sz="4" w:space="0"/>
              <w:left w:val="single" w:color="000000" w:sz="4" w:space="0"/>
              <w:bottom w:val="single" w:color="000000" w:sz="4" w:space="0"/>
              <w:right w:val="single" w:color="000000" w:sz="4" w:space="0"/>
            </w:tcBorders>
            <w:noWrap w:val="0"/>
            <w:vAlign w:val="top"/>
          </w:tcPr>
          <w:p w14:paraId="0743D0EC">
            <w:pPr>
              <w:widowControl/>
              <w:snapToGrid w:val="0"/>
              <w:jc w:val="center"/>
              <w:rPr>
                <w:rFonts w:hint="default" w:ascii="Times New Roman" w:hAnsi="Times New Roman" w:eastAsia="方正仿宋_GBK" w:cs="Times New Roman"/>
                <w:b w:val="0"/>
                <w:bCs w:val="0"/>
                <w:color w:val="000000"/>
                <w:sz w:val="24"/>
              </w:rPr>
            </w:pPr>
          </w:p>
        </w:tc>
      </w:tr>
      <w:tr w14:paraId="59C9A2A8">
        <w:tblPrEx>
          <w:tblCellMar>
            <w:top w:w="15" w:type="dxa"/>
            <w:left w:w="15" w:type="dxa"/>
            <w:bottom w:w="15" w:type="dxa"/>
            <w:right w:w="15" w:type="dxa"/>
          </w:tblCellMar>
        </w:tblPrEx>
        <w:trPr>
          <w:trHeight w:val="632" w:hRule="atLeast"/>
          <w:jc w:val="center"/>
        </w:trPr>
        <w:tc>
          <w:tcPr>
            <w:tcW w:w="1158" w:type="dxa"/>
            <w:tcBorders>
              <w:top w:val="single" w:color="000000" w:sz="4" w:space="0"/>
              <w:left w:val="single" w:color="000000" w:sz="4" w:space="0"/>
              <w:bottom w:val="single" w:color="000000" w:sz="4" w:space="0"/>
              <w:right w:val="single" w:color="000000" w:sz="4" w:space="0"/>
            </w:tcBorders>
            <w:noWrap w:val="0"/>
            <w:vAlign w:val="center"/>
          </w:tcPr>
          <w:p w14:paraId="46304AFD">
            <w:pPr>
              <w:widowControl/>
              <w:snapToGrid w:val="0"/>
              <w:jc w:val="center"/>
              <w:textAlignment w:val="center"/>
              <w:rPr>
                <w:rFonts w:hint="default" w:ascii="Times New Roman" w:hAnsi="Times New Roman" w:eastAsia="方正黑体_GBK" w:cs="Times New Roman"/>
                <w:b w:val="0"/>
                <w:bCs w:val="0"/>
                <w:color w:val="000000"/>
                <w:sz w:val="24"/>
              </w:rPr>
            </w:pPr>
            <w:r>
              <w:rPr>
                <w:rFonts w:hint="default" w:ascii="Times New Roman" w:hAnsi="Times New Roman" w:eastAsia="方正黑体_GBK" w:cs="Times New Roman"/>
                <w:b w:val="0"/>
                <w:bCs w:val="0"/>
                <w:color w:val="000000"/>
                <w:kern w:val="0"/>
                <w:sz w:val="24"/>
                <w:lang w:bidi="ar"/>
              </w:rPr>
              <w:t>统一社会信用代码</w:t>
            </w:r>
          </w:p>
        </w:tc>
        <w:tc>
          <w:tcPr>
            <w:tcW w:w="3146" w:type="dxa"/>
            <w:gridSpan w:val="3"/>
            <w:tcBorders>
              <w:top w:val="single" w:color="000000" w:sz="4" w:space="0"/>
              <w:left w:val="single" w:color="000000" w:sz="4" w:space="0"/>
              <w:bottom w:val="single" w:color="000000" w:sz="4" w:space="0"/>
              <w:right w:val="single" w:color="000000" w:sz="4" w:space="0"/>
            </w:tcBorders>
            <w:noWrap w:val="0"/>
            <w:vAlign w:val="top"/>
          </w:tcPr>
          <w:p w14:paraId="6960C514">
            <w:pPr>
              <w:widowControl/>
              <w:snapToGrid w:val="0"/>
              <w:jc w:val="center"/>
              <w:rPr>
                <w:rFonts w:hint="default" w:ascii="Times New Roman" w:hAnsi="Times New Roman" w:eastAsia="方正仿宋_GBK" w:cs="Times New Roman"/>
                <w:b w:val="0"/>
                <w:bCs w:val="0"/>
                <w:color w:val="000000"/>
                <w:sz w:val="24"/>
              </w:rPr>
            </w:pPr>
          </w:p>
        </w:tc>
        <w:tc>
          <w:tcPr>
            <w:tcW w:w="1158" w:type="dxa"/>
            <w:gridSpan w:val="2"/>
            <w:tcBorders>
              <w:top w:val="single" w:color="000000" w:sz="4" w:space="0"/>
              <w:left w:val="single" w:color="000000" w:sz="4" w:space="0"/>
              <w:bottom w:val="single" w:color="000000" w:sz="4" w:space="0"/>
              <w:right w:val="single" w:color="000000" w:sz="4" w:space="0"/>
            </w:tcBorders>
            <w:noWrap w:val="0"/>
            <w:vAlign w:val="center"/>
          </w:tcPr>
          <w:p w14:paraId="2D345CCD">
            <w:pPr>
              <w:widowControl/>
              <w:snapToGrid w:val="0"/>
              <w:jc w:val="center"/>
              <w:textAlignment w:val="center"/>
              <w:rPr>
                <w:rFonts w:hint="default" w:ascii="Times New Roman" w:hAnsi="Times New Roman" w:eastAsia="方正黑体_GBK" w:cs="Times New Roman"/>
                <w:b w:val="0"/>
                <w:bCs w:val="0"/>
                <w:color w:val="000000"/>
                <w:sz w:val="24"/>
              </w:rPr>
            </w:pPr>
            <w:r>
              <w:rPr>
                <w:rFonts w:hint="default" w:ascii="Times New Roman" w:hAnsi="Times New Roman" w:eastAsia="方正黑体_GBK" w:cs="Times New Roman"/>
                <w:b w:val="0"/>
                <w:bCs w:val="0"/>
                <w:color w:val="000000"/>
                <w:kern w:val="0"/>
                <w:sz w:val="24"/>
                <w:lang w:bidi="ar"/>
              </w:rPr>
              <w:t>员工人数</w:t>
            </w:r>
          </w:p>
        </w:tc>
        <w:tc>
          <w:tcPr>
            <w:tcW w:w="1130" w:type="dxa"/>
            <w:tcBorders>
              <w:top w:val="single" w:color="000000" w:sz="4" w:space="0"/>
              <w:left w:val="single" w:color="000000" w:sz="4" w:space="0"/>
              <w:bottom w:val="single" w:color="000000" w:sz="4" w:space="0"/>
              <w:right w:val="single" w:color="000000" w:sz="4" w:space="0"/>
            </w:tcBorders>
            <w:noWrap w:val="0"/>
            <w:vAlign w:val="top"/>
          </w:tcPr>
          <w:p w14:paraId="3DBBE820">
            <w:pPr>
              <w:widowControl/>
              <w:snapToGrid w:val="0"/>
              <w:rPr>
                <w:rFonts w:hint="default" w:ascii="Times New Roman" w:hAnsi="Times New Roman" w:eastAsia="方正仿宋_GBK" w:cs="Times New Roman"/>
                <w:b w:val="0"/>
                <w:bCs w:val="0"/>
                <w:color w:val="000000"/>
                <w:sz w:val="24"/>
              </w:rPr>
            </w:pPr>
          </w:p>
        </w:tc>
        <w:tc>
          <w:tcPr>
            <w:tcW w:w="1142" w:type="dxa"/>
            <w:tcBorders>
              <w:top w:val="single" w:color="000000" w:sz="4" w:space="0"/>
              <w:left w:val="single" w:color="000000" w:sz="4" w:space="0"/>
              <w:bottom w:val="single" w:color="000000" w:sz="4" w:space="0"/>
              <w:right w:val="single" w:color="000000" w:sz="4" w:space="0"/>
            </w:tcBorders>
            <w:noWrap w:val="0"/>
            <w:vAlign w:val="center"/>
          </w:tcPr>
          <w:p w14:paraId="4746B348">
            <w:pPr>
              <w:widowControl/>
              <w:snapToGrid w:val="0"/>
              <w:jc w:val="both"/>
              <w:textAlignment w:val="center"/>
              <w:rPr>
                <w:rFonts w:hint="default" w:ascii="Times New Roman" w:hAnsi="Times New Roman" w:eastAsia="方正黑体_GBK" w:cs="Times New Roman"/>
                <w:b w:val="0"/>
                <w:bCs w:val="0"/>
                <w:color w:val="000000"/>
                <w:sz w:val="24"/>
              </w:rPr>
            </w:pPr>
            <w:r>
              <w:rPr>
                <w:rFonts w:hint="default" w:ascii="Times New Roman" w:hAnsi="Times New Roman" w:eastAsia="方正黑体_GBK" w:cs="Times New Roman"/>
                <w:b w:val="0"/>
                <w:bCs w:val="0"/>
                <w:color w:val="000000"/>
                <w:kern w:val="0"/>
                <w:sz w:val="24"/>
                <w:lang w:bidi="ar"/>
              </w:rPr>
              <w:t>上年度进出口额（万美元</w:t>
            </w:r>
            <w:r>
              <w:rPr>
                <w:rFonts w:hint="default" w:ascii="Times New Roman" w:hAnsi="Times New Roman" w:eastAsia="方正黑体_GBK" w:cs="Times New Roman"/>
                <w:b w:val="0"/>
                <w:bCs w:val="0"/>
                <w:color w:val="000000"/>
                <w:kern w:val="0"/>
                <w:sz w:val="24"/>
                <w:lang w:eastAsia="zh-CN" w:bidi="ar"/>
              </w:rPr>
              <w:t>，自营和代理</w:t>
            </w:r>
            <w:r>
              <w:rPr>
                <w:rFonts w:hint="default" w:ascii="Times New Roman" w:hAnsi="Times New Roman" w:eastAsia="方正黑体_GBK" w:cs="Times New Roman"/>
                <w:b w:val="0"/>
                <w:bCs w:val="0"/>
                <w:color w:val="000000"/>
                <w:kern w:val="0"/>
                <w:sz w:val="24"/>
                <w:lang w:bidi="ar"/>
              </w:rPr>
              <w:t>）</w:t>
            </w:r>
          </w:p>
        </w:tc>
        <w:tc>
          <w:tcPr>
            <w:tcW w:w="2259" w:type="dxa"/>
            <w:tcBorders>
              <w:top w:val="single" w:color="000000" w:sz="4" w:space="0"/>
              <w:left w:val="single" w:color="000000" w:sz="4" w:space="0"/>
              <w:bottom w:val="single" w:color="000000" w:sz="4" w:space="0"/>
              <w:right w:val="single" w:color="000000" w:sz="4" w:space="0"/>
            </w:tcBorders>
            <w:noWrap w:val="0"/>
            <w:vAlign w:val="top"/>
          </w:tcPr>
          <w:p w14:paraId="46469E3A">
            <w:pPr>
              <w:widowControl/>
              <w:snapToGrid w:val="0"/>
              <w:jc w:val="center"/>
              <w:rPr>
                <w:rFonts w:hint="default" w:ascii="Times New Roman" w:hAnsi="Times New Roman" w:eastAsia="方正仿宋_GBK" w:cs="Times New Roman"/>
                <w:b w:val="0"/>
                <w:bCs w:val="0"/>
                <w:color w:val="000000"/>
                <w:sz w:val="24"/>
              </w:rPr>
            </w:pPr>
          </w:p>
        </w:tc>
      </w:tr>
      <w:tr w14:paraId="03FB2391">
        <w:tblPrEx>
          <w:tblCellMar>
            <w:top w:w="15" w:type="dxa"/>
            <w:left w:w="15" w:type="dxa"/>
            <w:bottom w:w="15" w:type="dxa"/>
            <w:right w:w="15" w:type="dxa"/>
          </w:tblCellMar>
        </w:tblPrEx>
        <w:trPr>
          <w:trHeight w:val="502" w:hRule="atLeast"/>
          <w:jc w:val="center"/>
        </w:trPr>
        <w:tc>
          <w:tcPr>
            <w:tcW w:w="1158" w:type="dxa"/>
            <w:tcBorders>
              <w:top w:val="single" w:color="000000" w:sz="4" w:space="0"/>
              <w:left w:val="single" w:color="000000" w:sz="4" w:space="0"/>
              <w:bottom w:val="single" w:color="000000" w:sz="4" w:space="0"/>
              <w:right w:val="single" w:color="000000" w:sz="4" w:space="0"/>
            </w:tcBorders>
            <w:noWrap w:val="0"/>
            <w:vAlign w:val="center"/>
          </w:tcPr>
          <w:p w14:paraId="0370D099">
            <w:pPr>
              <w:widowControl/>
              <w:snapToGrid w:val="0"/>
              <w:jc w:val="center"/>
              <w:textAlignment w:val="center"/>
              <w:rPr>
                <w:rFonts w:hint="default" w:ascii="Times New Roman" w:hAnsi="Times New Roman" w:eastAsia="方正黑体_GBK" w:cs="Times New Roman"/>
                <w:b w:val="0"/>
                <w:bCs w:val="0"/>
                <w:color w:val="000000"/>
                <w:sz w:val="24"/>
              </w:rPr>
            </w:pPr>
            <w:r>
              <w:rPr>
                <w:rFonts w:hint="default" w:ascii="Times New Roman" w:hAnsi="Times New Roman" w:eastAsia="方正黑体_GBK" w:cs="Times New Roman"/>
                <w:b w:val="0"/>
                <w:bCs w:val="0"/>
                <w:color w:val="000000"/>
                <w:kern w:val="0"/>
                <w:sz w:val="24"/>
                <w:lang w:bidi="ar"/>
              </w:rPr>
              <w:t>法人代表</w:t>
            </w:r>
          </w:p>
        </w:tc>
        <w:tc>
          <w:tcPr>
            <w:tcW w:w="1159" w:type="dxa"/>
            <w:tcBorders>
              <w:top w:val="single" w:color="000000" w:sz="4" w:space="0"/>
              <w:left w:val="single" w:color="000000" w:sz="4" w:space="0"/>
              <w:bottom w:val="single" w:color="000000" w:sz="4" w:space="0"/>
              <w:right w:val="single" w:color="000000" w:sz="4" w:space="0"/>
            </w:tcBorders>
            <w:noWrap w:val="0"/>
            <w:vAlign w:val="top"/>
          </w:tcPr>
          <w:p w14:paraId="607E31AA">
            <w:pPr>
              <w:widowControl/>
              <w:snapToGrid w:val="0"/>
              <w:jc w:val="center"/>
              <w:rPr>
                <w:rFonts w:hint="default" w:ascii="Times New Roman" w:hAnsi="Times New Roman" w:eastAsia="方正仿宋_GBK" w:cs="Times New Roman"/>
                <w:b w:val="0"/>
                <w:bCs w:val="0"/>
                <w:color w:val="000000"/>
                <w:sz w:val="24"/>
              </w:rPr>
            </w:pPr>
          </w:p>
        </w:tc>
        <w:tc>
          <w:tcPr>
            <w:tcW w:w="993" w:type="dxa"/>
            <w:tcBorders>
              <w:top w:val="single" w:color="000000" w:sz="4" w:space="0"/>
              <w:left w:val="single" w:color="000000" w:sz="4" w:space="0"/>
              <w:bottom w:val="single" w:color="000000" w:sz="4" w:space="0"/>
              <w:right w:val="single" w:color="000000" w:sz="4" w:space="0"/>
            </w:tcBorders>
            <w:noWrap w:val="0"/>
            <w:vAlign w:val="center"/>
          </w:tcPr>
          <w:p w14:paraId="78BA1372">
            <w:pPr>
              <w:widowControl/>
              <w:snapToGrid w:val="0"/>
              <w:jc w:val="center"/>
              <w:textAlignment w:val="center"/>
              <w:rPr>
                <w:rFonts w:hint="default" w:ascii="Times New Roman" w:hAnsi="Times New Roman" w:eastAsia="方正黑体_GBK" w:cs="Times New Roman"/>
                <w:b w:val="0"/>
                <w:bCs w:val="0"/>
                <w:color w:val="000000"/>
                <w:sz w:val="24"/>
              </w:rPr>
            </w:pPr>
            <w:r>
              <w:rPr>
                <w:rFonts w:hint="default" w:ascii="Times New Roman" w:hAnsi="Times New Roman" w:eastAsia="方正黑体_GBK" w:cs="Times New Roman"/>
                <w:b w:val="0"/>
                <w:bCs w:val="0"/>
                <w:color w:val="000000"/>
                <w:kern w:val="0"/>
                <w:sz w:val="24"/>
                <w:lang w:bidi="ar"/>
              </w:rPr>
              <w:t>电话</w:t>
            </w:r>
          </w:p>
        </w:tc>
        <w:tc>
          <w:tcPr>
            <w:tcW w:w="994" w:type="dxa"/>
            <w:tcBorders>
              <w:top w:val="single" w:color="000000" w:sz="4" w:space="0"/>
              <w:left w:val="single" w:color="000000" w:sz="4" w:space="0"/>
              <w:bottom w:val="single" w:color="000000" w:sz="4" w:space="0"/>
              <w:right w:val="single" w:color="000000" w:sz="4" w:space="0"/>
            </w:tcBorders>
            <w:noWrap w:val="0"/>
            <w:vAlign w:val="top"/>
          </w:tcPr>
          <w:p w14:paraId="513289E7">
            <w:pPr>
              <w:widowControl/>
              <w:snapToGrid w:val="0"/>
              <w:jc w:val="center"/>
              <w:rPr>
                <w:rFonts w:hint="default" w:ascii="Times New Roman" w:hAnsi="Times New Roman" w:eastAsia="方正仿宋_GBK" w:cs="Times New Roman"/>
                <w:b w:val="0"/>
                <w:bCs w:val="0"/>
                <w:color w:val="000000"/>
                <w:sz w:val="24"/>
              </w:rPr>
            </w:pPr>
          </w:p>
        </w:tc>
        <w:tc>
          <w:tcPr>
            <w:tcW w:w="1158" w:type="dxa"/>
            <w:gridSpan w:val="2"/>
            <w:tcBorders>
              <w:top w:val="single" w:color="000000" w:sz="4" w:space="0"/>
              <w:left w:val="single" w:color="000000" w:sz="4" w:space="0"/>
              <w:bottom w:val="single" w:color="000000" w:sz="4" w:space="0"/>
              <w:right w:val="single" w:color="000000" w:sz="4" w:space="0"/>
            </w:tcBorders>
            <w:noWrap w:val="0"/>
            <w:vAlign w:val="center"/>
          </w:tcPr>
          <w:p w14:paraId="0D84C733">
            <w:pPr>
              <w:widowControl/>
              <w:snapToGrid w:val="0"/>
              <w:jc w:val="center"/>
              <w:textAlignment w:val="center"/>
              <w:rPr>
                <w:rFonts w:hint="default" w:ascii="Times New Roman" w:hAnsi="Times New Roman" w:eastAsia="方正黑体_GBK" w:cs="Times New Roman"/>
                <w:b w:val="0"/>
                <w:bCs w:val="0"/>
                <w:color w:val="000000"/>
                <w:sz w:val="24"/>
              </w:rPr>
            </w:pPr>
            <w:r>
              <w:rPr>
                <w:rFonts w:hint="default" w:ascii="Times New Roman" w:hAnsi="Times New Roman" w:eastAsia="方正黑体_GBK" w:cs="Times New Roman"/>
                <w:b w:val="0"/>
                <w:bCs w:val="0"/>
                <w:color w:val="000000"/>
                <w:kern w:val="0"/>
                <w:sz w:val="24"/>
                <w:lang w:bidi="ar"/>
              </w:rPr>
              <w:t>联系人</w:t>
            </w:r>
          </w:p>
        </w:tc>
        <w:tc>
          <w:tcPr>
            <w:tcW w:w="1130" w:type="dxa"/>
            <w:tcBorders>
              <w:top w:val="single" w:color="000000" w:sz="4" w:space="0"/>
              <w:left w:val="single" w:color="000000" w:sz="4" w:space="0"/>
              <w:bottom w:val="single" w:color="000000" w:sz="4" w:space="0"/>
              <w:right w:val="single" w:color="000000" w:sz="4" w:space="0"/>
            </w:tcBorders>
            <w:noWrap w:val="0"/>
            <w:vAlign w:val="top"/>
          </w:tcPr>
          <w:p w14:paraId="3CCCA780">
            <w:pPr>
              <w:widowControl/>
              <w:snapToGrid w:val="0"/>
              <w:jc w:val="center"/>
              <w:rPr>
                <w:rFonts w:hint="default" w:ascii="Times New Roman" w:hAnsi="Times New Roman" w:eastAsia="方正仿宋_GBK" w:cs="Times New Roman"/>
                <w:b w:val="0"/>
                <w:bCs w:val="0"/>
                <w:color w:val="000000"/>
                <w:sz w:val="24"/>
              </w:rPr>
            </w:pPr>
          </w:p>
        </w:tc>
        <w:tc>
          <w:tcPr>
            <w:tcW w:w="1142" w:type="dxa"/>
            <w:tcBorders>
              <w:top w:val="single" w:color="000000" w:sz="4" w:space="0"/>
              <w:left w:val="single" w:color="000000" w:sz="4" w:space="0"/>
              <w:bottom w:val="single" w:color="000000" w:sz="4" w:space="0"/>
              <w:right w:val="single" w:color="000000" w:sz="4" w:space="0"/>
            </w:tcBorders>
            <w:noWrap w:val="0"/>
            <w:vAlign w:val="center"/>
          </w:tcPr>
          <w:p w14:paraId="13619BE7">
            <w:pPr>
              <w:widowControl/>
              <w:snapToGrid w:val="0"/>
              <w:jc w:val="center"/>
              <w:textAlignment w:val="center"/>
              <w:rPr>
                <w:rFonts w:hint="default" w:ascii="Times New Roman" w:hAnsi="Times New Roman" w:eastAsia="方正黑体_GBK" w:cs="Times New Roman"/>
                <w:b w:val="0"/>
                <w:bCs w:val="0"/>
                <w:color w:val="000000"/>
                <w:sz w:val="24"/>
              </w:rPr>
            </w:pPr>
            <w:r>
              <w:rPr>
                <w:rFonts w:hint="default" w:ascii="Times New Roman" w:hAnsi="Times New Roman" w:eastAsia="方正黑体_GBK" w:cs="Times New Roman"/>
                <w:b w:val="0"/>
                <w:bCs w:val="0"/>
                <w:color w:val="000000"/>
                <w:kern w:val="0"/>
                <w:sz w:val="24"/>
                <w:lang w:bidi="ar"/>
              </w:rPr>
              <w:t>电话</w:t>
            </w:r>
          </w:p>
        </w:tc>
        <w:tc>
          <w:tcPr>
            <w:tcW w:w="2259" w:type="dxa"/>
            <w:tcBorders>
              <w:top w:val="single" w:color="000000" w:sz="4" w:space="0"/>
              <w:left w:val="single" w:color="000000" w:sz="4" w:space="0"/>
              <w:bottom w:val="single" w:color="000000" w:sz="4" w:space="0"/>
              <w:right w:val="single" w:color="000000" w:sz="4" w:space="0"/>
            </w:tcBorders>
            <w:noWrap w:val="0"/>
            <w:vAlign w:val="top"/>
          </w:tcPr>
          <w:p w14:paraId="600497BA">
            <w:pPr>
              <w:widowControl/>
              <w:snapToGrid w:val="0"/>
              <w:jc w:val="center"/>
              <w:rPr>
                <w:rFonts w:hint="default" w:ascii="Times New Roman" w:hAnsi="Times New Roman" w:eastAsia="方正仿宋_GBK" w:cs="Times New Roman"/>
                <w:b w:val="0"/>
                <w:bCs w:val="0"/>
                <w:color w:val="000000"/>
                <w:sz w:val="24"/>
              </w:rPr>
            </w:pPr>
          </w:p>
        </w:tc>
      </w:tr>
      <w:tr w14:paraId="20038706">
        <w:tblPrEx>
          <w:tblCellMar>
            <w:top w:w="15" w:type="dxa"/>
            <w:left w:w="15" w:type="dxa"/>
            <w:bottom w:w="15" w:type="dxa"/>
            <w:right w:w="15" w:type="dxa"/>
          </w:tblCellMar>
        </w:tblPrEx>
        <w:trPr>
          <w:trHeight w:val="485" w:hRule="atLeast"/>
          <w:jc w:val="center"/>
        </w:trPr>
        <w:tc>
          <w:tcPr>
            <w:tcW w:w="2317"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14:paraId="4FE46FD9">
            <w:pPr>
              <w:widowControl/>
              <w:snapToGrid w:val="0"/>
              <w:jc w:val="center"/>
              <w:textAlignment w:val="center"/>
              <w:rPr>
                <w:rFonts w:hint="default" w:ascii="Times New Roman" w:hAnsi="Times New Roman" w:eastAsia="方正黑体_GBK" w:cs="Times New Roman"/>
                <w:b w:val="0"/>
                <w:bCs w:val="0"/>
                <w:color w:val="000000"/>
                <w:sz w:val="24"/>
              </w:rPr>
            </w:pPr>
            <w:r>
              <w:rPr>
                <w:rFonts w:hint="default" w:ascii="Times New Roman" w:hAnsi="Times New Roman" w:eastAsia="方正黑体_GBK" w:cs="Times New Roman"/>
                <w:b w:val="0"/>
                <w:bCs w:val="0"/>
                <w:color w:val="000000"/>
                <w:kern w:val="0"/>
                <w:sz w:val="24"/>
                <w:lang w:bidi="ar"/>
              </w:rPr>
              <w:t>可提供的外贸综合服务内容</w:t>
            </w:r>
          </w:p>
        </w:tc>
        <w:tc>
          <w:tcPr>
            <w:tcW w:w="7676" w:type="dxa"/>
            <w:gridSpan w:val="7"/>
            <w:vMerge w:val="restart"/>
            <w:tcBorders>
              <w:top w:val="single" w:color="000000" w:sz="4" w:space="0"/>
              <w:left w:val="single" w:color="000000" w:sz="4" w:space="0"/>
              <w:bottom w:val="single" w:color="000000" w:sz="4" w:space="0"/>
              <w:right w:val="single" w:color="000000" w:sz="4" w:space="0"/>
            </w:tcBorders>
            <w:noWrap w:val="0"/>
            <w:vAlign w:val="center"/>
          </w:tcPr>
          <w:p w14:paraId="64417849">
            <w:pPr>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报关□</w:t>
            </w:r>
            <w:r>
              <w:rPr>
                <w:rFonts w:hint="eastAsia" w:ascii="方正黑体_GBK" w:hAnsi="方正黑体_GBK" w:eastAsia="方正黑体_GBK" w:cs="方正黑体_GBK"/>
                <w:sz w:val="24"/>
                <w:szCs w:val="24"/>
                <w:lang w:val="en-US" w:eastAsia="zh-CN"/>
              </w:rPr>
              <w:t xml:space="preserve"> </w:t>
            </w:r>
            <w:r>
              <w:rPr>
                <w:rFonts w:hint="eastAsia" w:ascii="方正黑体_GBK" w:hAnsi="方正黑体_GBK" w:eastAsia="方正黑体_GBK" w:cs="方正黑体_GBK"/>
                <w:sz w:val="24"/>
                <w:szCs w:val="24"/>
              </w:rPr>
              <w:t>物流□</w:t>
            </w:r>
            <w:r>
              <w:rPr>
                <w:rFonts w:hint="eastAsia" w:ascii="方正黑体_GBK" w:hAnsi="方正黑体_GBK" w:eastAsia="方正黑体_GBK" w:cs="方正黑体_GBK"/>
                <w:sz w:val="24"/>
                <w:szCs w:val="24"/>
                <w:lang w:val="en-US" w:eastAsia="zh-CN"/>
              </w:rPr>
              <w:t xml:space="preserve"> </w:t>
            </w:r>
            <w:r>
              <w:rPr>
                <w:rFonts w:hint="eastAsia" w:ascii="方正黑体_GBK" w:hAnsi="方正黑体_GBK" w:eastAsia="方正黑体_GBK" w:cs="方正黑体_GBK"/>
                <w:sz w:val="24"/>
                <w:szCs w:val="24"/>
              </w:rPr>
              <w:t xml:space="preserve">代办退税□ </w:t>
            </w:r>
          </w:p>
          <w:p w14:paraId="6AE9FD3A">
            <w:pPr>
              <w:rPr>
                <w:rFonts w:hint="default" w:ascii="Times New Roman" w:hAnsi="Times New Roman" w:eastAsia="方正黑体_GBK" w:cs="Times New Roman"/>
                <w:b w:val="0"/>
                <w:bCs w:val="0"/>
                <w:color w:val="000000"/>
                <w:sz w:val="24"/>
              </w:rPr>
            </w:pPr>
            <w:r>
              <w:rPr>
                <w:rFonts w:hint="eastAsia" w:ascii="方正黑体_GBK" w:hAnsi="方正黑体_GBK" w:eastAsia="方正黑体_GBK" w:cs="方正黑体_GBK"/>
                <w:sz w:val="24"/>
                <w:szCs w:val="24"/>
              </w:rPr>
              <w:t xml:space="preserve">结算□ 信保□ 融资□ </w:t>
            </w:r>
            <w:r>
              <w:rPr>
                <w:rFonts w:hint="eastAsia" w:ascii="方正黑体_GBK" w:hAnsi="方正黑体_GBK" w:eastAsia="方正黑体_GBK" w:cs="方正黑体_GBK"/>
                <w:sz w:val="24"/>
                <w:szCs w:val="24"/>
                <w:lang w:val="en-US" w:eastAsia="zh-CN"/>
              </w:rPr>
              <w:t xml:space="preserve">     </w:t>
            </w:r>
            <w:r>
              <w:rPr>
                <w:rFonts w:hint="eastAsia" w:ascii="方正黑体_GBK" w:hAnsi="方正黑体_GBK" w:eastAsia="方正黑体_GBK" w:cs="方正黑体_GBK"/>
                <w:sz w:val="24"/>
                <w:szCs w:val="24"/>
              </w:rPr>
              <w:t>其他</w:t>
            </w:r>
            <w:r>
              <w:rPr>
                <w:rFonts w:hint="eastAsia" w:ascii="方正黑体_GBK" w:hAnsi="方正黑体_GBK" w:eastAsia="方正黑体_GBK" w:cs="方正黑体_GBK"/>
                <w:sz w:val="24"/>
                <w:szCs w:val="24"/>
                <w:u w:val="single"/>
              </w:rPr>
              <w:t xml:space="preserve">          </w:t>
            </w:r>
            <w:r>
              <w:rPr>
                <w:rFonts w:hint="eastAsia" w:ascii="方正黑体_GBK" w:hAnsi="方正黑体_GBK" w:eastAsia="方正黑体_GBK" w:cs="方正黑体_GBK"/>
                <w:sz w:val="24"/>
                <w:szCs w:val="24"/>
              </w:rPr>
              <w:t xml:space="preserve"> (请注明)</w:t>
            </w:r>
          </w:p>
        </w:tc>
      </w:tr>
      <w:tr w14:paraId="45471C35">
        <w:tblPrEx>
          <w:tblCellMar>
            <w:top w:w="15" w:type="dxa"/>
            <w:left w:w="15" w:type="dxa"/>
            <w:bottom w:w="15" w:type="dxa"/>
            <w:right w:w="15" w:type="dxa"/>
          </w:tblCellMar>
        </w:tblPrEx>
        <w:trPr>
          <w:trHeight w:val="579" w:hRule="atLeast"/>
          <w:jc w:val="center"/>
        </w:trPr>
        <w:tc>
          <w:tcPr>
            <w:tcW w:w="2317"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450D2E7B">
            <w:pPr>
              <w:rPr>
                <w:rFonts w:hint="default" w:ascii="Times New Roman" w:hAnsi="Times New Roman" w:cs="Times New Roman"/>
                <w:b w:val="0"/>
                <w:bCs w:val="0"/>
              </w:rPr>
            </w:pPr>
          </w:p>
        </w:tc>
        <w:tc>
          <w:tcPr>
            <w:tcW w:w="7676" w:type="dxa"/>
            <w:gridSpan w:val="7"/>
            <w:vMerge w:val="continue"/>
            <w:tcBorders>
              <w:top w:val="single" w:color="000000" w:sz="4" w:space="0"/>
              <w:left w:val="single" w:color="000000" w:sz="4" w:space="0"/>
              <w:bottom w:val="single" w:color="000000" w:sz="4" w:space="0"/>
              <w:right w:val="single" w:color="000000" w:sz="4" w:space="0"/>
            </w:tcBorders>
            <w:noWrap w:val="0"/>
            <w:vAlign w:val="center"/>
          </w:tcPr>
          <w:p w14:paraId="385AA7DE">
            <w:pPr>
              <w:rPr>
                <w:rFonts w:hint="default" w:ascii="Times New Roman" w:hAnsi="Times New Roman" w:cs="Times New Roman"/>
                <w:b w:val="0"/>
                <w:bCs w:val="0"/>
              </w:rPr>
            </w:pPr>
          </w:p>
        </w:tc>
      </w:tr>
      <w:tr w14:paraId="7CEB3E13">
        <w:tblPrEx>
          <w:tblCellMar>
            <w:top w:w="15" w:type="dxa"/>
            <w:left w:w="15" w:type="dxa"/>
            <w:bottom w:w="15" w:type="dxa"/>
            <w:right w:w="15" w:type="dxa"/>
          </w:tblCellMar>
        </w:tblPrEx>
        <w:trPr>
          <w:trHeight w:val="940" w:hRule="atLeast"/>
          <w:jc w:val="center"/>
        </w:trPr>
        <w:tc>
          <w:tcPr>
            <w:tcW w:w="2317" w:type="dxa"/>
            <w:gridSpan w:val="2"/>
            <w:tcBorders>
              <w:top w:val="single" w:color="000000" w:sz="4" w:space="0"/>
              <w:left w:val="single" w:color="000000" w:sz="4" w:space="0"/>
              <w:bottom w:val="single" w:color="000000" w:sz="4" w:space="0"/>
              <w:right w:val="single" w:color="000000" w:sz="4" w:space="0"/>
            </w:tcBorders>
            <w:noWrap w:val="0"/>
            <w:vAlign w:val="center"/>
          </w:tcPr>
          <w:p w14:paraId="77374EE4">
            <w:pPr>
              <w:widowControl/>
              <w:snapToGrid w:val="0"/>
              <w:jc w:val="center"/>
              <w:textAlignment w:val="center"/>
              <w:rPr>
                <w:rFonts w:hint="default" w:ascii="Times New Roman" w:hAnsi="Times New Roman" w:eastAsia="方正黑体_GBK" w:cs="Times New Roman"/>
                <w:b w:val="0"/>
                <w:bCs w:val="0"/>
                <w:color w:val="000000"/>
                <w:sz w:val="24"/>
              </w:rPr>
            </w:pPr>
            <w:r>
              <w:rPr>
                <w:rFonts w:hint="default" w:ascii="Times New Roman" w:hAnsi="Times New Roman" w:eastAsia="方正黑体_GBK" w:cs="Times New Roman"/>
                <w:b w:val="0"/>
                <w:bCs w:val="0"/>
                <w:color w:val="000000"/>
                <w:kern w:val="0"/>
                <w:sz w:val="24"/>
                <w:lang w:bidi="ar"/>
              </w:rPr>
              <w:t>线上外贸综合服务平台具备功能</w:t>
            </w:r>
          </w:p>
        </w:tc>
        <w:tc>
          <w:tcPr>
            <w:tcW w:w="7676" w:type="dxa"/>
            <w:gridSpan w:val="7"/>
            <w:tcBorders>
              <w:top w:val="single" w:color="000000" w:sz="4" w:space="0"/>
              <w:left w:val="single" w:color="000000" w:sz="4" w:space="0"/>
              <w:bottom w:val="single" w:color="000000" w:sz="4" w:space="0"/>
              <w:right w:val="single" w:color="000000" w:sz="4" w:space="0"/>
            </w:tcBorders>
            <w:noWrap w:val="0"/>
            <w:vAlign w:val="center"/>
          </w:tcPr>
          <w:p w14:paraId="204897F4">
            <w:pPr>
              <w:widowControl/>
              <w:snapToGrid w:val="0"/>
              <w:jc w:val="center"/>
              <w:rPr>
                <w:rFonts w:hint="default" w:ascii="Times New Roman" w:hAnsi="Times New Roman" w:eastAsia="方正黑体_GBK" w:cs="Times New Roman"/>
                <w:b w:val="0"/>
                <w:bCs w:val="0"/>
                <w:color w:val="000000"/>
                <w:sz w:val="24"/>
              </w:rPr>
            </w:pPr>
          </w:p>
        </w:tc>
      </w:tr>
      <w:tr w14:paraId="0EE1713A">
        <w:tblPrEx>
          <w:tblCellMar>
            <w:top w:w="15" w:type="dxa"/>
            <w:left w:w="15" w:type="dxa"/>
            <w:bottom w:w="15" w:type="dxa"/>
            <w:right w:w="15" w:type="dxa"/>
          </w:tblCellMar>
        </w:tblPrEx>
        <w:trPr>
          <w:trHeight w:val="940" w:hRule="atLeast"/>
          <w:jc w:val="center"/>
        </w:trPr>
        <w:tc>
          <w:tcPr>
            <w:tcW w:w="2317" w:type="dxa"/>
            <w:gridSpan w:val="2"/>
            <w:tcBorders>
              <w:top w:val="single" w:color="000000" w:sz="4" w:space="0"/>
              <w:left w:val="single" w:color="000000" w:sz="4" w:space="0"/>
              <w:bottom w:val="single" w:color="000000" w:sz="4" w:space="0"/>
              <w:right w:val="single" w:color="000000" w:sz="4" w:space="0"/>
            </w:tcBorders>
            <w:noWrap w:val="0"/>
            <w:vAlign w:val="center"/>
          </w:tcPr>
          <w:p w14:paraId="64A85FEF">
            <w:pPr>
              <w:widowControl/>
              <w:snapToGrid w:val="0"/>
              <w:jc w:val="center"/>
              <w:textAlignment w:val="center"/>
              <w:rPr>
                <w:rFonts w:hint="default" w:ascii="Times New Roman" w:hAnsi="Times New Roman" w:eastAsia="方正黑体_GBK" w:cs="Times New Roman"/>
                <w:b w:val="0"/>
                <w:bCs w:val="0"/>
                <w:color w:val="auto"/>
                <w:kern w:val="0"/>
                <w:sz w:val="24"/>
                <w:lang w:eastAsia="zh-CN" w:bidi="ar"/>
              </w:rPr>
            </w:pPr>
            <w:r>
              <w:rPr>
                <w:rFonts w:hint="default" w:ascii="Times New Roman" w:hAnsi="Times New Roman" w:eastAsia="方正黑体_GBK" w:cs="Times New Roman"/>
                <w:b w:val="0"/>
                <w:bCs w:val="0"/>
                <w:color w:val="auto"/>
                <w:kern w:val="0"/>
                <w:sz w:val="24"/>
                <w:lang w:eastAsia="zh-CN" w:bidi="ar"/>
              </w:rPr>
              <w:t>申报外贸综合服务企业类型</w:t>
            </w:r>
          </w:p>
        </w:tc>
        <w:tc>
          <w:tcPr>
            <w:tcW w:w="7676" w:type="dxa"/>
            <w:gridSpan w:val="7"/>
            <w:tcBorders>
              <w:top w:val="single" w:color="000000" w:sz="4" w:space="0"/>
              <w:left w:val="single" w:color="000000" w:sz="4" w:space="0"/>
              <w:bottom w:val="single" w:color="000000" w:sz="4" w:space="0"/>
              <w:right w:val="single" w:color="000000" w:sz="4" w:space="0"/>
            </w:tcBorders>
            <w:noWrap w:val="0"/>
            <w:vAlign w:val="center"/>
          </w:tcPr>
          <w:p w14:paraId="650F796A">
            <w:pPr>
              <w:widowControl/>
              <w:snapToGrid w:val="0"/>
              <w:jc w:val="center"/>
              <w:rPr>
                <w:rFonts w:hint="default" w:ascii="Times New Roman" w:hAnsi="Times New Roman" w:eastAsia="宋体" w:cs="Times New Roman"/>
                <w:b w:val="0"/>
                <w:bCs w:val="0"/>
                <w:color w:val="auto"/>
                <w:sz w:val="24"/>
                <w:lang w:val="en-US" w:eastAsia="zh-CN"/>
              </w:rPr>
            </w:pPr>
            <w:r>
              <w:rPr>
                <w:rFonts w:hint="default" w:ascii="Times New Roman" w:hAnsi="Times New Roman" w:eastAsia="方正黑体_GBK" w:cs="Times New Roman"/>
                <w:b w:val="0"/>
                <w:bCs w:val="0"/>
                <w:color w:val="auto"/>
                <w:sz w:val="24"/>
                <w:lang w:eastAsia="zh-CN"/>
              </w:rPr>
              <w:t>试点企业</w:t>
            </w:r>
            <w:r>
              <w:rPr>
                <w:rStyle w:val="6"/>
                <w:rFonts w:hint="default" w:ascii="Times New Roman" w:hAnsi="Times New Roman" w:cs="Times New Roman"/>
                <w:b w:val="0"/>
                <w:bCs w:val="0"/>
                <w:sz w:val="40"/>
                <w:szCs w:val="40"/>
                <w:lang w:bidi="ar"/>
              </w:rPr>
              <w:t>□</w:t>
            </w:r>
            <w:r>
              <w:rPr>
                <w:rStyle w:val="6"/>
                <w:rFonts w:hint="default" w:ascii="Times New Roman" w:hAnsi="Times New Roman" w:eastAsia="宋体" w:cs="Times New Roman"/>
                <w:b w:val="0"/>
                <w:bCs w:val="0"/>
                <w:color w:val="auto"/>
                <w:lang w:val="en-US" w:eastAsia="zh-CN" w:bidi="ar"/>
              </w:rPr>
              <w:t xml:space="preserve">     </w:t>
            </w:r>
            <w:r>
              <w:rPr>
                <w:rFonts w:hint="default" w:ascii="Times New Roman" w:hAnsi="Times New Roman" w:eastAsia="方正黑体_GBK" w:cs="Times New Roman"/>
                <w:b w:val="0"/>
                <w:bCs w:val="0"/>
                <w:color w:val="auto"/>
                <w:sz w:val="24"/>
                <w:lang w:val="en-US" w:eastAsia="zh-CN"/>
              </w:rPr>
              <w:t>培育企业</w:t>
            </w:r>
            <w:r>
              <w:rPr>
                <w:rStyle w:val="6"/>
                <w:rFonts w:hint="default" w:ascii="Times New Roman" w:hAnsi="Times New Roman" w:cs="Times New Roman"/>
                <w:b w:val="0"/>
                <w:bCs w:val="0"/>
                <w:sz w:val="40"/>
                <w:szCs w:val="40"/>
                <w:lang w:bidi="ar"/>
              </w:rPr>
              <w:t>□</w:t>
            </w:r>
          </w:p>
        </w:tc>
      </w:tr>
      <w:tr w14:paraId="28A3FA61">
        <w:tblPrEx>
          <w:tblCellMar>
            <w:top w:w="15" w:type="dxa"/>
            <w:left w:w="15" w:type="dxa"/>
            <w:bottom w:w="15" w:type="dxa"/>
            <w:right w:w="15" w:type="dxa"/>
          </w:tblCellMar>
        </w:tblPrEx>
        <w:trPr>
          <w:trHeight w:val="3833" w:hRule="atLeast"/>
          <w:jc w:val="center"/>
        </w:trPr>
        <w:tc>
          <w:tcPr>
            <w:tcW w:w="9993" w:type="dxa"/>
            <w:gridSpan w:val="9"/>
            <w:tcBorders>
              <w:top w:val="single" w:color="000000" w:sz="4" w:space="0"/>
              <w:left w:val="single" w:color="000000" w:sz="4" w:space="0"/>
              <w:bottom w:val="single" w:color="000000" w:sz="4" w:space="0"/>
              <w:right w:val="single" w:color="000000" w:sz="4" w:space="0"/>
            </w:tcBorders>
            <w:noWrap w:val="0"/>
            <w:vAlign w:val="center"/>
          </w:tcPr>
          <w:p w14:paraId="7ECD2024">
            <w:pPr>
              <w:widowControl/>
              <w:snapToGrid w:val="0"/>
              <w:jc w:val="left"/>
              <w:textAlignment w:val="center"/>
              <w:rPr>
                <w:rFonts w:hint="default" w:ascii="Times New Roman" w:hAnsi="Times New Roman" w:eastAsia="方正仿宋_GBK" w:cs="Times New Roman"/>
                <w:b w:val="0"/>
                <w:bCs w:val="0"/>
                <w:color w:val="000000"/>
                <w:sz w:val="22"/>
              </w:rPr>
            </w:pPr>
            <w:r>
              <w:rPr>
                <w:rFonts w:hint="default" w:ascii="Times New Roman" w:hAnsi="Times New Roman" w:eastAsia="方正仿宋_GBK" w:cs="Times New Roman"/>
                <w:b w:val="0"/>
                <w:bCs w:val="0"/>
                <w:color w:val="000000"/>
                <w:kern w:val="0"/>
                <w:sz w:val="22"/>
                <w:lang w:bidi="ar"/>
              </w:rPr>
              <w:t>区县商务主管部门初审意见：</w:t>
            </w:r>
            <w:r>
              <w:rPr>
                <w:rFonts w:hint="default" w:ascii="Times New Roman" w:hAnsi="Times New Roman" w:eastAsia="方正仿宋_GBK" w:cs="Times New Roman"/>
                <w:b w:val="0"/>
                <w:bCs w:val="0"/>
                <w:color w:val="000000"/>
                <w:kern w:val="0"/>
                <w:sz w:val="22"/>
                <w:lang w:bidi="ar"/>
              </w:rPr>
              <w:br w:type="textWrapping"/>
            </w:r>
            <w:r>
              <w:rPr>
                <w:rFonts w:hint="default" w:ascii="Times New Roman" w:hAnsi="Times New Roman" w:eastAsia="方正仿宋_GBK" w:cs="Times New Roman"/>
                <w:b w:val="0"/>
                <w:bCs w:val="0"/>
                <w:color w:val="000000"/>
                <w:kern w:val="0"/>
                <w:sz w:val="22"/>
                <w:lang w:bidi="ar"/>
              </w:rPr>
              <w:br w:type="textWrapping"/>
            </w:r>
            <w:r>
              <w:rPr>
                <w:rFonts w:hint="default" w:ascii="Times New Roman" w:hAnsi="Times New Roman" w:eastAsia="方正仿宋_GBK" w:cs="Times New Roman"/>
                <w:b w:val="0"/>
                <w:bCs w:val="0"/>
                <w:color w:val="000000"/>
                <w:kern w:val="0"/>
                <w:sz w:val="22"/>
                <w:lang w:bidi="ar"/>
              </w:rPr>
              <w:br w:type="textWrapping"/>
            </w:r>
            <w:r>
              <w:rPr>
                <w:rFonts w:hint="default" w:ascii="Times New Roman" w:hAnsi="Times New Roman" w:eastAsia="方正仿宋_GBK" w:cs="Times New Roman"/>
                <w:b w:val="0"/>
                <w:bCs w:val="0"/>
                <w:color w:val="000000"/>
                <w:kern w:val="0"/>
                <w:sz w:val="22"/>
                <w:lang w:bidi="ar"/>
              </w:rPr>
              <w:t xml:space="preserve">                     </w:t>
            </w:r>
            <w:r>
              <w:rPr>
                <w:rFonts w:hint="default" w:ascii="Times New Roman" w:hAnsi="Times New Roman" w:eastAsia="方正仿宋_GBK" w:cs="Times New Roman"/>
                <w:b w:val="0"/>
                <w:bCs w:val="0"/>
                <w:color w:val="000000"/>
                <w:kern w:val="0"/>
                <w:sz w:val="22"/>
                <w:lang w:bidi="ar"/>
              </w:rPr>
              <w:br w:type="textWrapping"/>
            </w:r>
            <w:r>
              <w:rPr>
                <w:rFonts w:hint="default" w:ascii="Times New Roman" w:hAnsi="Times New Roman" w:eastAsia="方正仿宋_GBK" w:cs="Times New Roman"/>
                <w:b w:val="0"/>
                <w:bCs w:val="0"/>
                <w:color w:val="000000"/>
                <w:kern w:val="0"/>
                <w:sz w:val="22"/>
                <w:lang w:bidi="ar"/>
              </w:rPr>
              <w:t xml:space="preserve">                     </w:t>
            </w:r>
            <w:r>
              <w:rPr>
                <w:rFonts w:hint="default" w:ascii="Times New Roman" w:hAnsi="Times New Roman" w:eastAsia="方正仿宋_GBK" w:cs="Times New Roman"/>
                <w:b w:val="0"/>
                <w:bCs w:val="0"/>
                <w:color w:val="000000"/>
                <w:kern w:val="0"/>
                <w:sz w:val="22"/>
                <w:lang w:val="en-US" w:eastAsia="zh-CN" w:bidi="ar"/>
              </w:rPr>
              <w:t xml:space="preserve">                                         </w:t>
            </w:r>
            <w:r>
              <w:rPr>
                <w:rFonts w:hint="default" w:ascii="Times New Roman" w:hAnsi="Times New Roman" w:eastAsia="方正仿宋_GBK" w:cs="Times New Roman"/>
                <w:b w:val="0"/>
                <w:bCs w:val="0"/>
                <w:color w:val="000000"/>
                <w:kern w:val="0"/>
                <w:sz w:val="22"/>
                <w:lang w:bidi="ar"/>
              </w:rPr>
              <w:t>联系人：</w:t>
            </w:r>
            <w:r>
              <w:rPr>
                <w:rFonts w:hint="default" w:ascii="Times New Roman" w:hAnsi="Times New Roman" w:eastAsia="方正仿宋_GBK" w:cs="Times New Roman"/>
                <w:b w:val="0"/>
                <w:bCs w:val="0"/>
                <w:color w:val="000000"/>
                <w:kern w:val="0"/>
                <w:sz w:val="22"/>
                <w:lang w:bidi="ar"/>
              </w:rPr>
              <w:br w:type="textWrapping"/>
            </w:r>
            <w:r>
              <w:rPr>
                <w:rFonts w:hint="default" w:ascii="Times New Roman" w:hAnsi="Times New Roman" w:eastAsia="方正仿宋_GBK" w:cs="Times New Roman"/>
                <w:b w:val="0"/>
                <w:bCs w:val="0"/>
                <w:color w:val="000000"/>
                <w:kern w:val="0"/>
                <w:sz w:val="22"/>
                <w:lang w:bidi="ar"/>
              </w:rPr>
              <w:t xml:space="preserve">                   </w:t>
            </w:r>
            <w:r>
              <w:rPr>
                <w:rFonts w:hint="default" w:ascii="Times New Roman" w:hAnsi="Times New Roman" w:eastAsia="方正仿宋_GBK" w:cs="Times New Roman"/>
                <w:b w:val="0"/>
                <w:bCs w:val="0"/>
                <w:color w:val="000000"/>
                <w:kern w:val="0"/>
                <w:sz w:val="22"/>
                <w:lang w:val="en-US" w:eastAsia="zh-CN" w:bidi="ar"/>
              </w:rPr>
              <w:t xml:space="preserve">                                         </w:t>
            </w:r>
            <w:r>
              <w:rPr>
                <w:rFonts w:hint="default" w:ascii="Times New Roman" w:hAnsi="Times New Roman" w:eastAsia="方正仿宋_GBK" w:cs="Times New Roman"/>
                <w:b w:val="0"/>
                <w:bCs w:val="0"/>
                <w:color w:val="000000"/>
                <w:kern w:val="0"/>
                <w:sz w:val="22"/>
                <w:lang w:bidi="ar"/>
              </w:rPr>
              <w:t xml:space="preserve">  电  话：</w:t>
            </w:r>
            <w:r>
              <w:rPr>
                <w:rFonts w:hint="default" w:ascii="Times New Roman" w:hAnsi="Times New Roman" w:eastAsia="方正仿宋_GBK" w:cs="Times New Roman"/>
                <w:b w:val="0"/>
                <w:bCs w:val="0"/>
                <w:color w:val="000000"/>
                <w:kern w:val="0"/>
                <w:sz w:val="22"/>
                <w:lang w:bidi="ar"/>
              </w:rPr>
              <w:br w:type="textWrapping"/>
            </w:r>
            <w:r>
              <w:rPr>
                <w:rFonts w:hint="default" w:ascii="Times New Roman" w:hAnsi="Times New Roman" w:eastAsia="方正仿宋_GBK" w:cs="Times New Roman"/>
                <w:b w:val="0"/>
                <w:bCs w:val="0"/>
                <w:color w:val="000000"/>
                <w:kern w:val="0"/>
                <w:sz w:val="22"/>
                <w:lang w:bidi="ar"/>
              </w:rPr>
              <w:t xml:space="preserve">                  </w:t>
            </w:r>
            <w:r>
              <w:rPr>
                <w:rFonts w:hint="default" w:ascii="Times New Roman" w:hAnsi="Times New Roman" w:eastAsia="方正仿宋_GBK" w:cs="Times New Roman"/>
                <w:b w:val="0"/>
                <w:bCs w:val="0"/>
                <w:color w:val="000000"/>
                <w:kern w:val="0"/>
                <w:sz w:val="22"/>
                <w:lang w:val="en-US" w:eastAsia="zh-CN" w:bidi="ar"/>
              </w:rPr>
              <w:t xml:space="preserve">                                         </w:t>
            </w:r>
            <w:r>
              <w:rPr>
                <w:rFonts w:hint="default" w:ascii="Times New Roman" w:hAnsi="Times New Roman" w:eastAsia="方正仿宋_GBK" w:cs="Times New Roman"/>
                <w:b w:val="0"/>
                <w:bCs w:val="0"/>
                <w:color w:val="000000"/>
                <w:kern w:val="0"/>
                <w:sz w:val="22"/>
                <w:lang w:bidi="ar"/>
              </w:rPr>
              <w:t xml:space="preserve">  （盖章）</w:t>
            </w:r>
            <w:r>
              <w:rPr>
                <w:rFonts w:hint="default" w:ascii="Times New Roman" w:hAnsi="Times New Roman" w:eastAsia="方正仿宋_GBK" w:cs="Times New Roman"/>
                <w:b w:val="0"/>
                <w:bCs w:val="0"/>
                <w:color w:val="000000"/>
                <w:kern w:val="0"/>
                <w:sz w:val="22"/>
                <w:lang w:bidi="ar"/>
              </w:rPr>
              <w:br w:type="textWrapping"/>
            </w:r>
            <w:r>
              <w:rPr>
                <w:rFonts w:hint="default" w:ascii="Times New Roman" w:hAnsi="Times New Roman" w:eastAsia="方正仿宋_GBK" w:cs="Times New Roman"/>
                <w:b w:val="0"/>
                <w:bCs w:val="0"/>
                <w:color w:val="000000"/>
                <w:kern w:val="0"/>
                <w:sz w:val="22"/>
                <w:lang w:bidi="ar"/>
              </w:rPr>
              <w:t xml:space="preserve">                                                              </w:t>
            </w:r>
            <w:r>
              <w:rPr>
                <w:rFonts w:hint="default" w:ascii="Times New Roman" w:hAnsi="Times New Roman" w:eastAsia="方正仿宋_GBK" w:cs="Times New Roman"/>
                <w:b w:val="0"/>
                <w:bCs w:val="0"/>
                <w:color w:val="000000"/>
                <w:kern w:val="0"/>
                <w:sz w:val="22"/>
                <w:lang w:bidi="ar"/>
              </w:rPr>
              <w:br w:type="textWrapping"/>
            </w:r>
            <w:r>
              <w:rPr>
                <w:rFonts w:hint="default" w:ascii="Times New Roman" w:hAnsi="Times New Roman" w:eastAsia="方正仿宋_GBK" w:cs="Times New Roman"/>
                <w:b w:val="0"/>
                <w:bCs w:val="0"/>
                <w:color w:val="000000"/>
                <w:kern w:val="0"/>
                <w:sz w:val="22"/>
                <w:lang w:bidi="ar"/>
              </w:rPr>
              <w:t xml:space="preserve">                     </w:t>
            </w:r>
            <w:r>
              <w:rPr>
                <w:rFonts w:hint="default" w:ascii="Times New Roman" w:hAnsi="Times New Roman" w:eastAsia="方正仿宋_GBK" w:cs="Times New Roman"/>
                <w:b w:val="0"/>
                <w:bCs w:val="0"/>
                <w:color w:val="000000"/>
                <w:kern w:val="0"/>
                <w:sz w:val="22"/>
                <w:lang w:val="en-US" w:eastAsia="zh-CN" w:bidi="ar"/>
              </w:rPr>
              <w:t xml:space="preserve">                                    </w:t>
            </w:r>
            <w:r>
              <w:rPr>
                <w:rFonts w:hint="default" w:ascii="Times New Roman" w:hAnsi="Times New Roman" w:eastAsia="方正仿宋_GBK" w:cs="Times New Roman"/>
                <w:b w:val="0"/>
                <w:bCs w:val="0"/>
                <w:color w:val="000000"/>
                <w:kern w:val="0"/>
                <w:sz w:val="22"/>
                <w:lang w:bidi="ar"/>
              </w:rPr>
              <w:t xml:space="preserve">    年  月  日</w:t>
            </w:r>
          </w:p>
        </w:tc>
      </w:tr>
      <w:tr w14:paraId="2482A6AD">
        <w:tblPrEx>
          <w:tblCellMar>
            <w:top w:w="15" w:type="dxa"/>
            <w:left w:w="15" w:type="dxa"/>
            <w:bottom w:w="15" w:type="dxa"/>
            <w:right w:w="15" w:type="dxa"/>
          </w:tblCellMar>
        </w:tblPrEx>
        <w:trPr>
          <w:trHeight w:val="587" w:hRule="atLeast"/>
          <w:jc w:val="center"/>
        </w:trPr>
        <w:tc>
          <w:tcPr>
            <w:tcW w:w="1158" w:type="dxa"/>
            <w:tcBorders>
              <w:top w:val="nil"/>
              <w:left w:val="nil"/>
              <w:bottom w:val="nil"/>
              <w:right w:val="nil"/>
            </w:tcBorders>
            <w:noWrap w:val="0"/>
            <w:vAlign w:val="center"/>
          </w:tcPr>
          <w:p w14:paraId="06CFF875">
            <w:pPr>
              <w:widowControl/>
              <w:snapToGrid w:val="0"/>
              <w:jc w:val="left"/>
              <w:textAlignment w:val="center"/>
              <w:rPr>
                <w:rFonts w:hint="default" w:ascii="Times New Roman" w:hAnsi="Times New Roman" w:eastAsia="方正仿宋_GBK" w:cs="Times New Roman"/>
                <w:b w:val="0"/>
                <w:bCs w:val="0"/>
                <w:color w:val="000000"/>
                <w:sz w:val="22"/>
              </w:rPr>
            </w:pPr>
            <w:r>
              <w:rPr>
                <w:rFonts w:hint="default" w:ascii="Times New Roman" w:hAnsi="Times New Roman" w:eastAsia="方正仿宋_GBK" w:cs="Times New Roman"/>
                <w:b w:val="0"/>
                <w:bCs w:val="0"/>
                <w:color w:val="000000"/>
                <w:kern w:val="0"/>
                <w:sz w:val="22"/>
                <w:lang w:bidi="ar"/>
              </w:rPr>
              <w:t>填报人：</w:t>
            </w:r>
          </w:p>
        </w:tc>
        <w:tc>
          <w:tcPr>
            <w:tcW w:w="1159" w:type="dxa"/>
            <w:tcBorders>
              <w:top w:val="nil"/>
              <w:left w:val="nil"/>
              <w:bottom w:val="nil"/>
              <w:right w:val="nil"/>
            </w:tcBorders>
            <w:noWrap w:val="0"/>
            <w:vAlign w:val="center"/>
          </w:tcPr>
          <w:p w14:paraId="55C6B94E">
            <w:pPr>
              <w:widowControl/>
              <w:snapToGrid w:val="0"/>
              <w:rPr>
                <w:rFonts w:hint="default" w:ascii="Times New Roman" w:hAnsi="Times New Roman" w:eastAsia="方正仿宋_GBK" w:cs="Times New Roman"/>
                <w:b w:val="0"/>
                <w:bCs w:val="0"/>
                <w:color w:val="000000"/>
                <w:sz w:val="22"/>
              </w:rPr>
            </w:pPr>
          </w:p>
        </w:tc>
        <w:tc>
          <w:tcPr>
            <w:tcW w:w="993" w:type="dxa"/>
            <w:tcBorders>
              <w:top w:val="nil"/>
              <w:left w:val="nil"/>
              <w:bottom w:val="nil"/>
              <w:right w:val="nil"/>
            </w:tcBorders>
            <w:noWrap w:val="0"/>
            <w:vAlign w:val="center"/>
          </w:tcPr>
          <w:p w14:paraId="3F1B6C73">
            <w:pPr>
              <w:widowControl/>
              <w:snapToGrid w:val="0"/>
              <w:rPr>
                <w:rFonts w:hint="default" w:ascii="Times New Roman" w:hAnsi="Times New Roman" w:eastAsia="方正仿宋_GBK" w:cs="Times New Roman"/>
                <w:b w:val="0"/>
                <w:bCs w:val="0"/>
                <w:color w:val="000000"/>
                <w:sz w:val="22"/>
              </w:rPr>
            </w:pPr>
          </w:p>
        </w:tc>
        <w:tc>
          <w:tcPr>
            <w:tcW w:w="1290" w:type="dxa"/>
            <w:gridSpan w:val="2"/>
            <w:tcBorders>
              <w:top w:val="nil"/>
              <w:left w:val="nil"/>
              <w:bottom w:val="nil"/>
              <w:right w:val="nil"/>
            </w:tcBorders>
            <w:noWrap w:val="0"/>
            <w:vAlign w:val="center"/>
          </w:tcPr>
          <w:p w14:paraId="6695BD0E">
            <w:pPr>
              <w:widowControl/>
              <w:snapToGrid w:val="0"/>
              <w:jc w:val="left"/>
              <w:textAlignment w:val="center"/>
              <w:rPr>
                <w:rFonts w:hint="default" w:ascii="Times New Roman" w:hAnsi="Times New Roman" w:eastAsia="方正仿宋_GBK" w:cs="Times New Roman"/>
                <w:b w:val="0"/>
                <w:bCs w:val="0"/>
                <w:color w:val="000000"/>
                <w:sz w:val="22"/>
              </w:rPr>
            </w:pPr>
            <w:r>
              <w:rPr>
                <w:rFonts w:hint="default" w:ascii="Times New Roman" w:hAnsi="Times New Roman" w:eastAsia="方正仿宋_GBK" w:cs="Times New Roman"/>
                <w:b w:val="0"/>
                <w:bCs w:val="0"/>
                <w:color w:val="000000"/>
                <w:kern w:val="0"/>
                <w:sz w:val="22"/>
                <w:lang w:bidi="ar"/>
              </w:rPr>
              <w:t>填报时间：</w:t>
            </w:r>
          </w:p>
        </w:tc>
        <w:tc>
          <w:tcPr>
            <w:tcW w:w="862" w:type="dxa"/>
            <w:tcBorders>
              <w:top w:val="nil"/>
              <w:left w:val="nil"/>
              <w:bottom w:val="nil"/>
              <w:right w:val="nil"/>
            </w:tcBorders>
            <w:noWrap w:val="0"/>
            <w:vAlign w:val="center"/>
          </w:tcPr>
          <w:p w14:paraId="069C9CC3">
            <w:pPr>
              <w:widowControl/>
              <w:snapToGrid w:val="0"/>
              <w:rPr>
                <w:rFonts w:hint="default" w:ascii="Times New Roman" w:hAnsi="Times New Roman" w:eastAsia="方正仿宋_GBK" w:cs="Times New Roman"/>
                <w:b w:val="0"/>
                <w:bCs w:val="0"/>
                <w:color w:val="000000"/>
                <w:sz w:val="22"/>
              </w:rPr>
            </w:pPr>
          </w:p>
        </w:tc>
        <w:tc>
          <w:tcPr>
            <w:tcW w:w="1130" w:type="dxa"/>
            <w:tcBorders>
              <w:top w:val="nil"/>
              <w:left w:val="nil"/>
              <w:bottom w:val="nil"/>
              <w:right w:val="nil"/>
            </w:tcBorders>
            <w:noWrap w:val="0"/>
            <w:vAlign w:val="center"/>
          </w:tcPr>
          <w:p w14:paraId="7C576532">
            <w:pPr>
              <w:widowControl/>
              <w:snapToGrid w:val="0"/>
              <w:rPr>
                <w:rFonts w:hint="default" w:ascii="Times New Roman" w:hAnsi="Times New Roman" w:eastAsia="方正仿宋_GBK" w:cs="Times New Roman"/>
                <w:b w:val="0"/>
                <w:bCs w:val="0"/>
                <w:color w:val="000000"/>
                <w:sz w:val="22"/>
              </w:rPr>
            </w:pPr>
          </w:p>
        </w:tc>
        <w:tc>
          <w:tcPr>
            <w:tcW w:w="1142" w:type="dxa"/>
            <w:tcBorders>
              <w:top w:val="nil"/>
              <w:left w:val="nil"/>
              <w:bottom w:val="nil"/>
              <w:right w:val="nil"/>
            </w:tcBorders>
            <w:noWrap w:val="0"/>
            <w:vAlign w:val="center"/>
          </w:tcPr>
          <w:p w14:paraId="68E9B37B">
            <w:pPr>
              <w:widowControl/>
              <w:snapToGrid w:val="0"/>
              <w:jc w:val="left"/>
              <w:textAlignment w:val="center"/>
              <w:rPr>
                <w:rFonts w:hint="default" w:ascii="Times New Roman" w:hAnsi="Times New Roman" w:eastAsia="方正仿宋_GBK" w:cs="Times New Roman"/>
                <w:b w:val="0"/>
                <w:bCs w:val="0"/>
                <w:color w:val="000000"/>
                <w:sz w:val="22"/>
              </w:rPr>
            </w:pPr>
            <w:r>
              <w:rPr>
                <w:rFonts w:hint="default" w:ascii="Times New Roman" w:hAnsi="Times New Roman" w:eastAsia="方正仿宋_GBK" w:cs="Times New Roman"/>
                <w:b w:val="0"/>
                <w:bCs w:val="0"/>
                <w:color w:val="000000"/>
                <w:kern w:val="0"/>
                <w:sz w:val="22"/>
                <w:lang w:bidi="ar"/>
              </w:rPr>
              <w:t>联系电话：</w:t>
            </w:r>
          </w:p>
        </w:tc>
        <w:tc>
          <w:tcPr>
            <w:tcW w:w="2259" w:type="dxa"/>
            <w:tcBorders>
              <w:top w:val="nil"/>
              <w:left w:val="nil"/>
              <w:bottom w:val="nil"/>
              <w:right w:val="nil"/>
            </w:tcBorders>
            <w:noWrap w:val="0"/>
            <w:vAlign w:val="center"/>
          </w:tcPr>
          <w:p w14:paraId="1CD8DBD9">
            <w:pPr>
              <w:widowControl/>
              <w:snapToGrid w:val="0"/>
              <w:rPr>
                <w:rFonts w:hint="default" w:ascii="Times New Roman" w:hAnsi="Times New Roman" w:eastAsia="方正仿宋_GBK" w:cs="Times New Roman"/>
                <w:b w:val="0"/>
                <w:bCs w:val="0"/>
                <w:color w:val="000000"/>
                <w:sz w:val="22"/>
              </w:rPr>
            </w:pPr>
          </w:p>
        </w:tc>
      </w:tr>
    </w:tbl>
    <w:p w14:paraId="1275010D">
      <w:pPr>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附件2</w:t>
      </w:r>
    </w:p>
    <w:p w14:paraId="262C0A69">
      <w:pPr>
        <w:spacing w:line="580" w:lineRule="exact"/>
        <w:jc w:val="center"/>
        <w:rPr>
          <w:rFonts w:hint="default" w:ascii="Times New Roman" w:hAnsi="Times New Roman" w:eastAsia="方正仿宋_GBK" w:cs="Times New Roman"/>
          <w:b w:val="0"/>
          <w:bCs w:val="0"/>
          <w:szCs w:val="32"/>
        </w:rPr>
      </w:pPr>
    </w:p>
    <w:p w14:paraId="6E3B3D55">
      <w:pPr>
        <w:snapToGrid w:val="0"/>
        <w:jc w:val="center"/>
        <w:rPr>
          <w:rFonts w:hint="default" w:ascii="Times New Roman" w:hAnsi="Times New Roman" w:cs="Times New Roman"/>
          <w:b w:val="0"/>
          <w:bCs w:val="0"/>
          <w:sz w:val="44"/>
          <w:szCs w:val="44"/>
        </w:rPr>
      </w:pPr>
      <w:r>
        <w:rPr>
          <w:rFonts w:hint="default" w:ascii="Times New Roman" w:hAnsi="Times New Roman" w:eastAsia="方正小标宋_GBK" w:cs="Times New Roman"/>
          <w:b w:val="0"/>
          <w:bCs w:val="0"/>
          <w:sz w:val="44"/>
          <w:szCs w:val="44"/>
        </w:rPr>
        <w:t>申报材料真实性承诺书</w:t>
      </w:r>
    </w:p>
    <w:p w14:paraId="06125347">
      <w:pPr>
        <w:rPr>
          <w:rFonts w:hint="default" w:ascii="Times New Roman" w:hAnsi="Times New Roman" w:eastAsia="方正仿宋_GBK" w:cs="Times New Roman"/>
          <w:b w:val="0"/>
          <w:bCs w:val="0"/>
          <w:szCs w:val="32"/>
        </w:rPr>
      </w:pPr>
    </w:p>
    <w:p w14:paraId="7DB7C7D2">
      <w:pPr>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重庆市商务委：</w:t>
      </w:r>
    </w:p>
    <w:p w14:paraId="48481099">
      <w:pPr>
        <w:ind w:firstLine="640" w:firstLineChars="200"/>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我单位承诺此次申报</w:t>
      </w:r>
      <w:r>
        <w:rPr>
          <w:rFonts w:hint="default" w:ascii="Times New Roman" w:hAnsi="Times New Roman" w:eastAsia="方正仿宋_GBK" w:cs="Times New Roman"/>
          <w:b w:val="0"/>
          <w:bCs w:val="0"/>
          <w:sz w:val="32"/>
          <w:szCs w:val="32"/>
          <w:lang w:val="en-US" w:eastAsia="zh-CN"/>
        </w:rPr>
        <w:t>XX</w:t>
      </w:r>
      <w:r>
        <w:rPr>
          <w:rFonts w:hint="default" w:ascii="Times New Roman" w:hAnsi="Times New Roman" w:eastAsia="方正仿宋_GBK" w:cs="Times New Roman"/>
          <w:b w:val="0"/>
          <w:bCs w:val="0"/>
          <w:sz w:val="32"/>
          <w:szCs w:val="32"/>
        </w:rPr>
        <w:t>年度重庆外贸综合服务试点企业所提交的申报材料真实、准确、合法，近一年在税务、外汇、海关管理等方面无重大违法违规行为。如有不实之处，我单位愿承担相应的法律责任，并承担由此产生的一切后果。</w:t>
      </w:r>
    </w:p>
    <w:p w14:paraId="2A4F76D3">
      <w:pPr>
        <w:ind w:firstLine="640" w:firstLineChars="200"/>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特此承诺!</w:t>
      </w:r>
    </w:p>
    <w:p w14:paraId="658E327D">
      <w:pPr>
        <w:ind w:firstLine="640" w:firstLineChars="200"/>
        <w:rPr>
          <w:rFonts w:hint="default" w:ascii="Times New Roman" w:hAnsi="Times New Roman" w:eastAsia="方正仿宋_GBK" w:cs="Times New Roman"/>
          <w:b w:val="0"/>
          <w:bCs w:val="0"/>
          <w:sz w:val="32"/>
          <w:szCs w:val="32"/>
        </w:rPr>
      </w:pPr>
    </w:p>
    <w:p w14:paraId="44252104">
      <w:pPr>
        <w:ind w:firstLine="640" w:firstLineChars="200"/>
        <w:rPr>
          <w:rFonts w:hint="default" w:ascii="Times New Roman" w:hAnsi="Times New Roman" w:eastAsia="方正仿宋_GBK" w:cs="Times New Roman"/>
          <w:b w:val="0"/>
          <w:bCs w:val="0"/>
          <w:sz w:val="32"/>
          <w:szCs w:val="32"/>
        </w:rPr>
      </w:pPr>
    </w:p>
    <w:p w14:paraId="3FA52EC9">
      <w:pPr>
        <w:ind w:firstLine="4480" w:firstLineChars="1400"/>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 xml:space="preserve">申报单位（盖章）           </w:t>
      </w:r>
    </w:p>
    <w:p w14:paraId="14C26FF9">
      <w:pPr>
        <w:ind w:firstLine="4480" w:firstLineChars="1400"/>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 xml:space="preserve">法定代表人签字：            </w:t>
      </w:r>
    </w:p>
    <w:p w14:paraId="7F802573">
      <w:pPr>
        <w:wordWrap w:val="0"/>
        <w:jc w:val="right"/>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 xml:space="preserve"> </w:t>
      </w:r>
      <w:r>
        <w:rPr>
          <w:rFonts w:hint="default" w:ascii="Times New Roman" w:hAnsi="Times New Roman" w:eastAsia="方正仿宋_GBK" w:cs="Times New Roman"/>
          <w:b w:val="0"/>
          <w:bCs w:val="0"/>
          <w:sz w:val="32"/>
          <w:szCs w:val="32"/>
        </w:rPr>
        <w:t>年   月   日</w:t>
      </w:r>
      <w:r>
        <w:rPr>
          <w:rFonts w:hint="default" w:ascii="Times New Roman" w:hAnsi="Times New Roman" w:eastAsia="方正仿宋_GBK" w:cs="Times New Roman"/>
          <w:b w:val="0"/>
          <w:bCs w:val="0"/>
          <w:sz w:val="32"/>
          <w:szCs w:val="32"/>
          <w:lang w:val="en-US" w:eastAsia="zh-CN"/>
        </w:rPr>
        <w:t xml:space="preserve">          </w:t>
      </w:r>
    </w:p>
    <w:p w14:paraId="4B29AD27">
      <w:pPr>
        <w:rPr>
          <w:rFonts w:hint="default" w:ascii="Times New Roman" w:hAnsi="Times New Roman" w:eastAsia="方正仿宋_GBK" w:cs="Times New Roman"/>
          <w:b w:val="0"/>
          <w:bCs w:val="0"/>
          <w:sz w:val="32"/>
          <w:szCs w:val="32"/>
        </w:rPr>
      </w:pPr>
    </w:p>
    <w:p w14:paraId="622C25C3">
      <w:pPr>
        <w:rPr>
          <w:rFonts w:hint="default" w:ascii="Times New Roman" w:hAnsi="Times New Roman" w:eastAsia="方正仿宋_GBK" w:cs="Times New Roman"/>
          <w:b w:val="0"/>
          <w:bCs w:val="0"/>
          <w:sz w:val="32"/>
          <w:szCs w:val="32"/>
        </w:rPr>
      </w:pPr>
    </w:p>
    <w:p w14:paraId="4DC14D5C">
      <w:pPr>
        <w:rPr>
          <w:rFonts w:hint="default" w:ascii="Times New Roman" w:hAnsi="Times New Roman" w:eastAsia="方正仿宋_GBK" w:cs="Times New Roman"/>
          <w:b w:val="0"/>
          <w:bCs w:val="0"/>
          <w:sz w:val="32"/>
          <w:szCs w:val="32"/>
        </w:rPr>
      </w:pPr>
    </w:p>
    <w:p w14:paraId="2A876A88">
      <w:pPr>
        <w:rPr>
          <w:rFonts w:hint="default" w:ascii="Times New Roman" w:hAnsi="Times New Roman" w:eastAsia="方正仿宋_GBK" w:cs="Times New Roman"/>
          <w:b w:val="0"/>
          <w:bCs w:val="0"/>
          <w:sz w:val="32"/>
          <w:szCs w:val="32"/>
        </w:rPr>
      </w:pPr>
    </w:p>
    <w:p w14:paraId="2E0358D5">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方正黑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9EF976"/>
    <w:multiLevelType w:val="singleLevel"/>
    <w:tmpl w:val="9B9EF976"/>
    <w:lvl w:ilvl="0" w:tentative="0">
      <w:start w:val="1"/>
      <w:numFmt w:val="chineseCounting"/>
      <w:suff w:val="nothing"/>
      <w:lvlText w:val="（%1）"/>
      <w:lvlJc w:val="left"/>
      <w:rPr>
        <w:rFonts w:hint="eastAsia"/>
      </w:rPr>
    </w:lvl>
  </w:abstractNum>
  <w:abstractNum w:abstractNumId="1">
    <w:nsid w:val="DB05D8E6"/>
    <w:multiLevelType w:val="singleLevel"/>
    <w:tmpl w:val="DB05D8E6"/>
    <w:lvl w:ilvl="0" w:tentative="0">
      <w:start w:val="2"/>
      <w:numFmt w:val="decimal"/>
      <w:suff w:val="space"/>
      <w:lvlText w:val="%1."/>
      <w:lvlJc w:val="left"/>
    </w:lvl>
  </w:abstractNum>
  <w:abstractNum w:abstractNumId="2">
    <w:nsid w:val="DC3FD80A"/>
    <w:multiLevelType w:val="singleLevel"/>
    <w:tmpl w:val="DC3FD80A"/>
    <w:lvl w:ilvl="0" w:tentative="0">
      <w:start w:val="1"/>
      <w:numFmt w:val="chineseCounting"/>
      <w:suff w:val="nothing"/>
      <w:lvlText w:val="%1、"/>
      <w:lvlJc w:val="left"/>
      <w:pPr>
        <w:tabs>
          <w:tab w:val="left" w:pos="0"/>
        </w:tabs>
        <w:ind w:left="0" w:firstLine="0"/>
      </w:pPr>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04D3B06"/>
    <w:rsid w:val="204D3B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table of authorities"/>
    <w:basedOn w:val="1"/>
    <w:next w:val="1"/>
    <w:qFormat/>
    <w:uiPriority w:val="0"/>
    <w:pPr>
      <w:widowControl w:val="0"/>
      <w:spacing w:before="0" w:after="0"/>
      <w:ind w:left="200" w:leftChars="200" w:right="0"/>
      <w:jc w:val="both"/>
    </w:pPr>
    <w:rPr>
      <w:rFonts w:ascii="Times New Roman" w:hAnsi="Times New Roman" w:eastAsia="宋体" w:cs="Calibri"/>
      <w:kern w:val="2"/>
      <w:sz w:val="32"/>
      <w:szCs w:val="21"/>
      <w:lang w:val="zh-CN" w:eastAsia="zh-CN" w:bidi="ar-SA"/>
    </w:rPr>
  </w:style>
  <w:style w:type="character" w:customStyle="1" w:styleId="5">
    <w:name w:val="font71"/>
    <w:qFormat/>
    <w:uiPriority w:val="0"/>
    <w:rPr>
      <w:rFonts w:ascii="方正小标宋_GBK" w:eastAsia="方正小标宋_GBK" w:cs="方正小标宋_GBK"/>
      <w:color w:val="000000"/>
      <w:sz w:val="32"/>
      <w:szCs w:val="32"/>
      <w:u w:val="none"/>
      <w:lang w:bidi="ar-SA"/>
    </w:rPr>
  </w:style>
  <w:style w:type="character" w:customStyle="1" w:styleId="6">
    <w:name w:val="font11"/>
    <w:qFormat/>
    <w:uiPriority w:val="0"/>
    <w:rPr>
      <w:rFonts w:ascii="Wingdings 2" w:hAnsi="Wingdings 2" w:eastAsia="Wingdings 2" w:cs="Wingdings 2"/>
      <w:color w:val="000000"/>
      <w:sz w:val="24"/>
      <w:szCs w:val="24"/>
      <w:u w:val="none"/>
      <w:lang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0</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2025-01-06T02:11:00Z</dcterms:created>
  <dc:creator>asus</dc:creator>
  <cp:lastModifiedBy>asus</cp:lastModifiedBy>
  <dcterms:modified xsi:type="dcterms:W3CDTF">2025-01-06T02:12:22Z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3AA24361BBA84EB1BBFF304E54E24DB5_11</vt:lpwstr>
  </property>
  <property fmtid="{D5CDD505-2E9C-101B-9397-08002B2CF9AE}" pid="4" name="KSOTemplateDocerSaveRecord">
    <vt:lpwstr>eyJoZGlkIjoiNDBjYWU4ZjgyYTY3NWY0MjIwMzJkOGNhODc4YTdjMWQifQ==</vt:lpwstr>
  </property>
</Properties>
</file>