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07E5D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9" w:lineRule="exact"/>
        <w:ind w:left="0" w:right="0" w:firstLine="420"/>
        <w:jc w:val="left"/>
        <w:textAlignment w:val="auto"/>
        <w:rPr>
          <w:rFonts w:hint="eastAsia" w:ascii="方正黑体_GBK" w:eastAsia="方正黑体_GBK" w:cs="方正黑体_GBK"/>
          <w:color w:val="auto"/>
          <w:sz w:val="32"/>
          <w:szCs w:val="32"/>
        </w:rPr>
      </w:pPr>
      <w:r>
        <w:rPr>
          <w:rFonts w:hint="eastAsia" w:ascii="方正黑体_GBK" w:eastAsia="方正黑体_GBK" w:cs="方正黑体_GBK"/>
          <w:i w:val="0"/>
          <w:iCs w:val="0"/>
          <w:caps w:val="0"/>
          <w:smallCaps w:val="0"/>
          <w:color w:val="auto"/>
          <w:spacing w:val="0"/>
          <w:sz w:val="32"/>
          <w:szCs w:val="32"/>
          <w:shd w:val="clear" w:color="auto" w:fill="FFFFFF"/>
        </w:rPr>
        <w:t>附件</w:t>
      </w:r>
    </w:p>
    <w:p w14:paraId="2F815B1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420"/>
        <w:jc w:val="both"/>
        <w:textAlignment w:val="auto"/>
        <w:rPr>
          <w:color w:val="auto"/>
          <w:sz w:val="19"/>
          <w:szCs w:val="19"/>
        </w:rPr>
      </w:pPr>
    </w:p>
    <w:p w14:paraId="17A0A91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0"/>
        <w:jc w:val="center"/>
        <w:textAlignment w:val="auto"/>
        <w:rPr>
          <w:color w:val="auto"/>
          <w:sz w:val="24"/>
          <w:szCs w:val="24"/>
        </w:rPr>
      </w:pPr>
      <w:r>
        <w:rPr>
          <w:rStyle w:val="5"/>
          <w:rFonts w:hint="eastAsia" w:ascii="微软雅黑" w:eastAsia="微软雅黑" w:cs="微软雅黑"/>
          <w:i w:val="0"/>
          <w:iCs w:val="0"/>
          <w:caps w:val="0"/>
          <w:smallCaps w:val="0"/>
          <w:color w:val="auto"/>
          <w:spacing w:val="0"/>
          <w:sz w:val="24"/>
          <w:szCs w:val="24"/>
          <w:shd w:val="clear" w:color="auto" w:fill="FFFFFF"/>
        </w:rPr>
        <w:t>评审标准</w:t>
      </w:r>
    </w:p>
    <w:p w14:paraId="2E8C098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0"/>
        <w:jc w:val="center"/>
        <w:textAlignment w:val="auto"/>
        <w:rPr>
          <w:color w:val="auto"/>
          <w:sz w:val="24"/>
          <w:szCs w:val="24"/>
        </w:rPr>
      </w:pPr>
    </w:p>
    <w:tbl>
      <w:tblPr>
        <w:tblStyle w:val="3"/>
        <w:tblW w:w="9367" w:type="dxa"/>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1774"/>
        <w:gridCol w:w="970"/>
        <w:gridCol w:w="620"/>
        <w:gridCol w:w="6003"/>
      </w:tblGrid>
      <w:tr w14:paraId="6F314D87">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1774"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191FAC4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0"/>
              <w:jc w:val="center"/>
              <w:textAlignment w:val="auto"/>
              <w:rPr>
                <w:rFonts w:hint="eastAsia" w:ascii="方正黑体_GBK" w:eastAsia="方正黑体_GBK" w:cs="方正黑体_GBK"/>
                <w:color w:val="auto"/>
                <w:sz w:val="24"/>
                <w:szCs w:val="24"/>
              </w:rPr>
            </w:pPr>
            <w:r>
              <w:rPr>
                <w:rFonts w:hint="eastAsia" w:ascii="方正黑体_GBK" w:eastAsia="方正黑体_GBK" w:cs="方正黑体_GBK"/>
                <w:color w:val="auto"/>
                <w:sz w:val="24"/>
                <w:szCs w:val="24"/>
              </w:rPr>
              <w:t>序号</w:t>
            </w:r>
          </w:p>
        </w:tc>
        <w:tc>
          <w:tcPr>
            <w:tcW w:w="97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72FC93A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0"/>
              <w:jc w:val="center"/>
              <w:textAlignment w:val="auto"/>
              <w:rPr>
                <w:rFonts w:hint="eastAsia" w:ascii="方正黑体_GBK" w:eastAsia="方正黑体_GBK" w:cs="方正黑体_GBK"/>
                <w:color w:val="auto"/>
                <w:sz w:val="24"/>
                <w:szCs w:val="24"/>
              </w:rPr>
            </w:pPr>
            <w:r>
              <w:rPr>
                <w:rFonts w:hint="eastAsia" w:ascii="方正黑体_GBK" w:eastAsia="方正黑体_GBK" w:cs="方正黑体_GBK"/>
                <w:color w:val="auto"/>
                <w:sz w:val="24"/>
                <w:szCs w:val="24"/>
              </w:rPr>
              <w:t>评分因素</w:t>
            </w:r>
          </w:p>
        </w:tc>
        <w:tc>
          <w:tcPr>
            <w:tcW w:w="62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20EF456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0"/>
              <w:jc w:val="center"/>
              <w:textAlignment w:val="auto"/>
              <w:rPr>
                <w:rFonts w:hint="eastAsia" w:ascii="方正黑体_GBK" w:eastAsia="方正黑体_GBK" w:cs="方正黑体_GBK"/>
                <w:color w:val="auto"/>
                <w:sz w:val="24"/>
                <w:szCs w:val="24"/>
              </w:rPr>
            </w:pPr>
            <w:r>
              <w:rPr>
                <w:rFonts w:hint="eastAsia" w:ascii="方正黑体_GBK" w:eastAsia="方正黑体_GBK" w:cs="方正黑体_GBK"/>
                <w:color w:val="auto"/>
                <w:sz w:val="24"/>
                <w:szCs w:val="24"/>
              </w:rPr>
              <w:t>分值</w:t>
            </w:r>
          </w:p>
        </w:tc>
        <w:tc>
          <w:tcPr>
            <w:tcW w:w="6003"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71FDE12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79" w:lineRule="exact"/>
              <w:ind w:left="0" w:right="0" w:firstLine="0"/>
              <w:jc w:val="center"/>
              <w:textAlignment w:val="auto"/>
              <w:rPr>
                <w:rFonts w:hint="eastAsia" w:ascii="方正黑体_GBK" w:eastAsia="方正黑体_GBK" w:cs="方正黑体_GBK"/>
                <w:color w:val="auto"/>
                <w:sz w:val="24"/>
                <w:szCs w:val="24"/>
              </w:rPr>
            </w:pPr>
            <w:r>
              <w:rPr>
                <w:rFonts w:hint="eastAsia" w:ascii="方正黑体_GBK" w:eastAsia="方正黑体_GBK" w:cs="方正黑体_GBK"/>
                <w:color w:val="auto"/>
                <w:sz w:val="24"/>
                <w:szCs w:val="24"/>
              </w:rPr>
              <w:t>评分标准</w:t>
            </w:r>
          </w:p>
        </w:tc>
      </w:tr>
      <w:tr w14:paraId="41A7A623">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1774"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54F5EE9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center"/>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1</w:t>
            </w:r>
          </w:p>
        </w:tc>
        <w:tc>
          <w:tcPr>
            <w:tcW w:w="97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6505974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评估方案</w:t>
            </w:r>
          </w:p>
        </w:tc>
        <w:tc>
          <w:tcPr>
            <w:tcW w:w="62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73258C4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60</w:t>
            </w:r>
          </w:p>
        </w:tc>
        <w:tc>
          <w:tcPr>
            <w:tcW w:w="6003"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tcPr>
          <w:p w14:paraId="1E74ED0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1.总体策划方案（0—30分）</w:t>
            </w:r>
          </w:p>
          <w:p w14:paraId="5275DB0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对供应商提供的出访团组服务方案的可行性、科学性、合理性，项目实施要点和管理要点的准确性和完善性，各保障措施的合理性、可行性等方面横向比较打分。</w:t>
            </w:r>
          </w:p>
          <w:p w14:paraId="39A222D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优：30分，良：20分，一般：10分，差：5分，未提供：0分</w:t>
            </w:r>
          </w:p>
          <w:p w14:paraId="78B91A0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2.工作推进方式步骤和进度安排（0—20分）</w:t>
            </w:r>
          </w:p>
          <w:p w14:paraId="2C3F3B6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对供应商提出的方案是否符合要求，是否具有针对性、专业性、时效性、可行性，对供应商进行横向比较。</w:t>
            </w:r>
          </w:p>
          <w:p w14:paraId="011F66A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优：20分，良：15分，一般：10分，差：5分，未提供：0分</w:t>
            </w:r>
          </w:p>
          <w:p w14:paraId="41CBD80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3.后勤、现场保障方案（0—10分）</w:t>
            </w:r>
          </w:p>
          <w:p w14:paraId="2CB1F98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对供应商提供的后勤、现场保障方案的可行性、科学性、合理性，项目实施要点和管理要点的准确性和完善性，各保障措施的合理性、可行性，现场发生各类突发事件、特殊状况的处理、保障等方面横向比较打分。</w:t>
            </w:r>
          </w:p>
          <w:p w14:paraId="0469097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44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优：10分，良：5分，一般：3分，差：1分，未提供：0分</w:t>
            </w:r>
          </w:p>
        </w:tc>
      </w:tr>
      <w:tr w14:paraId="4E2187BE">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1774"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14992A5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center"/>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2</w:t>
            </w:r>
          </w:p>
        </w:tc>
        <w:tc>
          <w:tcPr>
            <w:tcW w:w="97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4356229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项目经验</w:t>
            </w:r>
          </w:p>
        </w:tc>
        <w:tc>
          <w:tcPr>
            <w:tcW w:w="62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1DF5F84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30</w:t>
            </w:r>
          </w:p>
        </w:tc>
        <w:tc>
          <w:tcPr>
            <w:tcW w:w="6003"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tcPr>
          <w:p w14:paraId="540BC80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1.承办过省部级及以上经贸交流活动（10分）</w:t>
            </w:r>
          </w:p>
          <w:p w14:paraId="167307C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2021年1月1日至今，供应商承办过省部级及以上经贸交流活动，每提供一个</w:t>
            </w:r>
            <w:r>
              <w:rPr>
                <w:rFonts w:hint="eastAsia" w:ascii="Times New Roman" w:hAnsi="Times New Roman" w:eastAsia="方正仿宋_GBK" w:cs="Times New Roman"/>
                <w:color w:val="auto"/>
                <w:sz w:val="24"/>
                <w:szCs w:val="24"/>
                <w:lang w:eastAsia="zh-CN"/>
              </w:rPr>
              <w:t>合同（复印件）</w:t>
            </w:r>
            <w:r>
              <w:rPr>
                <w:rFonts w:ascii="Times New Roman" w:hAnsi="Times New Roman" w:eastAsia="方正仿宋_GBK" w:cs="Times New Roman"/>
                <w:color w:val="auto"/>
                <w:sz w:val="24"/>
                <w:szCs w:val="24"/>
              </w:rPr>
              <w:t>得10分，满分10分。</w:t>
            </w:r>
          </w:p>
          <w:p w14:paraId="7576F23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2.承办过公务组团出访任务（15分）</w:t>
            </w:r>
          </w:p>
          <w:p w14:paraId="72431B5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2021年1月1日至今，供应商承办类似境外出访团组项目的,每提供一个得5分，满分15分。</w:t>
            </w:r>
          </w:p>
          <w:p w14:paraId="0C6307C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3.项目团队人员情况（5分）</w:t>
            </w:r>
          </w:p>
          <w:p w14:paraId="55F34CA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根据拟派项目团队特别是主要经办人员的经验、类似项目经验等;项目团队组成和配置的合理性等、文件撰写能力等方面横向比较打分。</w:t>
            </w:r>
          </w:p>
        </w:tc>
      </w:tr>
      <w:tr w14:paraId="136D721F">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1774"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708B828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center"/>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3</w:t>
            </w:r>
          </w:p>
        </w:tc>
        <w:tc>
          <w:tcPr>
            <w:tcW w:w="97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0BD2BF2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投标报价</w:t>
            </w:r>
          </w:p>
        </w:tc>
        <w:tc>
          <w:tcPr>
            <w:tcW w:w="62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14:paraId="2D0EDF2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79"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10</w:t>
            </w:r>
          </w:p>
        </w:tc>
        <w:tc>
          <w:tcPr>
            <w:tcW w:w="6003"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tcPr>
          <w:p w14:paraId="05507C3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满足资格性、符合性要求且最后报价最低的供应商的价格为基准价，其价格分为满分。其他供应商的价格分统一按照下列公式计算：</w:t>
            </w:r>
          </w:p>
          <w:p w14:paraId="52BF98F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500" w:lineRule="exact"/>
              <w:ind w:left="0" w:right="0" w:firstLine="0"/>
              <w:jc w:val="both"/>
              <w:textAlignment w:val="auto"/>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报价得分=（基准价/报价）×10</w:t>
            </w:r>
          </w:p>
        </w:tc>
      </w:tr>
    </w:tbl>
    <w:p w14:paraId="21F81BC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9" w:lineRule="exact"/>
        <w:ind w:left="0" w:right="0" w:firstLine="480" w:firstLineChars="200"/>
        <w:jc w:val="both"/>
        <w:textAlignment w:val="auto"/>
        <w:rPr>
          <w:color w:val="auto"/>
        </w:rPr>
      </w:pPr>
      <w:r>
        <w:rPr>
          <w:rFonts w:hint="eastAsia" w:ascii="方正楷体_GBK" w:eastAsia="方正楷体_GBK" w:cs="方正楷体_GBK"/>
          <w:i w:val="0"/>
          <w:iCs w:val="0"/>
          <w:caps w:val="0"/>
          <w:smallCaps w:val="0"/>
          <w:color w:val="auto"/>
          <w:spacing w:val="0"/>
          <w:sz w:val="24"/>
          <w:szCs w:val="24"/>
          <w:shd w:val="clear" w:color="auto" w:fill="FFFFFF"/>
        </w:rPr>
        <w:t>注：采购方认为投标人的报价明显低于其他通过符合性审查投标人的报价，有可能影响产品质量或者不能诚信履约的，应当要求其在合理的时间内提供书面说明，必要时提交相关证明材料；投标人不能证明其报价合理性的，采购方应当将其作为无效投标处理。满分100分，采购人对供应商的项目实施方案和报价进行评分，得分最高的为中标候选人。若综合得分相同的，按评估方案部分评分由高到低顺序排列；若综合得分且方案部分评分相同的，按投标报价由低到高顺序排列；若综合得分、评估方案、投标报价部分评分均相同的，随机抽取一家的方式确定中选人。</w:t>
      </w:r>
    </w:p>
    <w:p w14:paraId="6734452B">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2000000000000000000"/>
    <w:charset w:val="86"/>
    <w:family w:val="auto"/>
    <w:pitch w:val="default"/>
    <w:sig w:usb0="A00002BF" w:usb1="38CF7CFA" w:usb2="00082016" w:usb3="00000000" w:csb0="00040001" w:csb1="00000000"/>
  </w:font>
  <w:font w:name="微软雅黑">
    <w:panose1 w:val="020B0503020204020204"/>
    <w:charset w:val="86"/>
    <w:family w:val="auto"/>
    <w:pitch w:val="default"/>
    <w:sig w:usb0="80000287" w:usb1="2ACF3C50" w:usb2="00000016" w:usb3="00000000" w:csb0="0004001F" w:csb1="00000000"/>
  </w:font>
  <w:font w:name="方正仿宋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AC6E32"/>
    <w:rsid w:val="15AC6E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2025-05-23T14:27:00Z</dcterms:created>
  <dc:creator>ASUS</dc:creator>
  <cp:lastModifiedBy>ASUS</cp:lastModifiedBy>
  <dcterms:modified xsi:type="dcterms:W3CDTF">2025-05-23T14:27:49Z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8E40E8A4751A4CF6B7136F89C399CEA4_11</vt:lpwstr>
  </property>
  <property fmtid="{D5CDD505-2E9C-101B-9397-08002B2CF9AE}" pid="4" name="KSOTemplateDocerSaveRecord">
    <vt:lpwstr>eyJoZGlkIjoiZWM5YmFjYzA0YzkwZTg4YWE2NzUxMDJlYWNmYzM0MDMifQ==</vt:lpwstr>
  </property>
</Properties>
</file>