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4FA1C43">
      <w:pPr>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p>
    <w:p w14:paraId="1B6C5C50">
      <w:pPr>
        <w:jc w:val="center"/>
        <w:rPr>
          <w:rFonts w:hint="default" w:ascii="Times New Roman" w:hAnsi="Times New Roman" w:eastAsia="方正仿宋_GBK" w:cs="Times New Roman"/>
          <w:color w:val="000000"/>
        </w:rPr>
      </w:pPr>
    </w:p>
    <w:p w14:paraId="279AA635">
      <w:pPr>
        <w:spacing w:line="1600" w:lineRule="exact"/>
        <w:jc w:val="center"/>
        <w:rPr>
          <w:rFonts w:hint="default" w:ascii="Times New Roman" w:hAnsi="Times New Roman" w:eastAsia="方正仿宋_GBK" w:cs="Times New Roman"/>
          <w:color w:val="000000"/>
          <w:sz w:val="100"/>
        </w:rPr>
      </w:pPr>
    </w:p>
    <w:p w14:paraId="589D8739">
      <w:pPr>
        <w:spacing w:line="1600" w:lineRule="exact"/>
        <w:jc w:val="center"/>
        <w:rPr>
          <w:rFonts w:hint="default" w:ascii="Times New Roman" w:hAnsi="Times New Roman" w:eastAsia="方正仿宋_GBK" w:cs="Times New Roman"/>
          <w:color w:val="000000"/>
          <w:sz w:val="130"/>
          <w:szCs w:val="130"/>
        </w:rPr>
      </w:pPr>
      <w:r>
        <w:rPr>
          <w:rFonts w:hint="default" w:ascii="Times New Roman" w:hAnsi="Times New Roman" w:eastAsia="方正仿宋_GBK" w:cs="Times New Roman"/>
          <w:color w:val="000000"/>
          <w:sz w:val="130"/>
          <w:szCs w:val="130"/>
        </w:rPr>
        <w:t>竞争性比选文件</w:t>
      </w:r>
    </w:p>
    <w:p w14:paraId="430C921B">
      <w:pPr>
        <w:spacing w:line="700" w:lineRule="exact"/>
        <w:jc w:val="center"/>
        <w:rPr>
          <w:rFonts w:hint="default" w:ascii="Times New Roman" w:hAnsi="Times New Roman" w:eastAsia="方正仿宋_GBK" w:cs="Times New Roman"/>
          <w:color w:val="000000"/>
          <w:sz w:val="32"/>
        </w:rPr>
      </w:pPr>
    </w:p>
    <w:p w14:paraId="6AF9C7DB">
      <w:pPr>
        <w:spacing w:line="700" w:lineRule="exact"/>
        <w:jc w:val="center"/>
        <w:rPr>
          <w:rFonts w:hint="default" w:ascii="Times New Roman" w:hAnsi="Times New Roman" w:eastAsia="方正仿宋_GBK" w:cs="Times New Roman"/>
          <w:color w:val="000000"/>
          <w:sz w:val="32"/>
        </w:rPr>
      </w:pPr>
    </w:p>
    <w:p w14:paraId="556E99AC">
      <w:pPr>
        <w:spacing w:line="700" w:lineRule="exact"/>
        <w:jc w:val="center"/>
        <w:rPr>
          <w:rFonts w:hint="default" w:ascii="Times New Roman" w:hAnsi="Times New Roman" w:eastAsia="方正仿宋_GBK" w:cs="Times New Roman"/>
          <w:color w:val="000000"/>
          <w:sz w:val="32"/>
        </w:rPr>
      </w:pPr>
    </w:p>
    <w:p w14:paraId="6152CF5F">
      <w:pPr>
        <w:spacing w:line="500" w:lineRule="exact"/>
        <w:ind w:firstLine="1440" w:firstLineChars="400"/>
        <w:rPr>
          <w:rFonts w:hint="default" w:ascii="Times New Roman" w:hAnsi="Times New Roman" w:eastAsia="方正仿宋_GBK" w:cs="Times New Roman"/>
          <w:color w:val="000000"/>
          <w:sz w:val="36"/>
          <w:szCs w:val="36"/>
        </w:rPr>
      </w:pPr>
    </w:p>
    <w:p w14:paraId="19018A18">
      <w:pPr>
        <w:spacing w:line="500" w:lineRule="exact"/>
        <w:ind w:firstLine="1080" w:firstLineChars="300"/>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项</w:t>
      </w:r>
      <w:r>
        <w:rPr>
          <w:rFonts w:hint="default" w:ascii="Times New Roman" w:hAnsi="Times New Roman" w:eastAsia="方正仿宋_GBK" w:cs="Times New Roman"/>
          <w:color w:val="000000"/>
          <w:sz w:val="36"/>
          <w:szCs w:val="36"/>
          <w:lang w:val="en-US" w:eastAsia="zh-CN"/>
        </w:rPr>
        <w:t xml:space="preserve">  </w:t>
      </w:r>
      <w:r>
        <w:rPr>
          <w:rFonts w:hint="default" w:ascii="Times New Roman" w:hAnsi="Times New Roman" w:eastAsia="方正仿宋_GBK" w:cs="Times New Roman"/>
          <w:color w:val="000000"/>
          <w:sz w:val="36"/>
          <w:szCs w:val="36"/>
        </w:rPr>
        <w:t>目 编 号：SCIT-CQFQ-2025060011</w:t>
      </w:r>
    </w:p>
    <w:p w14:paraId="2FE6A8AF">
      <w:pPr>
        <w:spacing w:line="500" w:lineRule="exact"/>
        <w:ind w:left="3595" w:leftChars="384" w:hanging="2520" w:hangingChars="700"/>
        <w:rPr>
          <w:rFonts w:hint="default" w:ascii="Times New Roman" w:hAnsi="Times New Roman" w:eastAsia="方正仿宋_GBK" w:cs="Times New Roman"/>
          <w:color w:val="000000"/>
          <w:sz w:val="36"/>
          <w:szCs w:val="36"/>
          <w:lang w:eastAsia="zh-CN"/>
        </w:rPr>
      </w:pPr>
      <w:r>
        <w:rPr>
          <w:rFonts w:hint="default" w:ascii="Times New Roman" w:hAnsi="Times New Roman" w:eastAsia="方正仿宋_GBK" w:cs="Times New Roman"/>
          <w:color w:val="000000"/>
          <w:sz w:val="36"/>
          <w:szCs w:val="36"/>
        </w:rPr>
        <w:t>比选项目名称：</w:t>
      </w:r>
      <w:r>
        <w:rPr>
          <w:rFonts w:hint="eastAsia" w:eastAsia="方正仿宋_GBK" w:cs="Times New Roman"/>
          <w:color w:val="000000"/>
          <w:sz w:val="36"/>
          <w:szCs w:val="36"/>
          <w:lang w:eastAsia="zh-CN"/>
        </w:rPr>
        <w:t>渝贸全球•重庆摩托车及零配件（意大利）展览会及赴罗马尼亚开展经贸活动</w:t>
      </w:r>
    </w:p>
    <w:p w14:paraId="530C57A4">
      <w:pPr>
        <w:ind w:left="1960" w:leftChars="700" w:firstLine="342" w:firstLineChars="100"/>
        <w:jc w:val="left"/>
        <w:rPr>
          <w:rFonts w:hint="default" w:ascii="Times New Roman" w:hAnsi="Times New Roman" w:eastAsia="方正仿宋_GBK" w:cs="Times New Roman"/>
          <w:color w:val="000000"/>
          <w:w w:val="95"/>
          <w:sz w:val="36"/>
          <w:szCs w:val="36"/>
        </w:rPr>
      </w:pPr>
    </w:p>
    <w:p w14:paraId="46615B5E">
      <w:pPr>
        <w:spacing w:line="700" w:lineRule="exact"/>
        <w:ind w:firstLine="1749" w:firstLineChars="486"/>
        <w:rPr>
          <w:rFonts w:hint="default" w:ascii="Times New Roman" w:hAnsi="Times New Roman" w:eastAsia="方正仿宋_GBK" w:cs="Times New Roman"/>
          <w:color w:val="000000"/>
          <w:sz w:val="36"/>
          <w:szCs w:val="36"/>
        </w:rPr>
      </w:pPr>
    </w:p>
    <w:p w14:paraId="7D6D17E1">
      <w:pPr>
        <w:spacing w:line="700" w:lineRule="exact"/>
        <w:ind w:firstLine="1749" w:firstLineChars="486"/>
        <w:rPr>
          <w:rFonts w:hint="default" w:ascii="Times New Roman" w:hAnsi="Times New Roman" w:eastAsia="方正仿宋_GBK" w:cs="Times New Roman"/>
          <w:color w:val="000000"/>
          <w:sz w:val="36"/>
          <w:szCs w:val="36"/>
        </w:rPr>
      </w:pPr>
    </w:p>
    <w:p w14:paraId="132268F6">
      <w:pPr>
        <w:spacing w:line="700" w:lineRule="exact"/>
        <w:ind w:firstLine="1749" w:firstLineChars="486"/>
        <w:rPr>
          <w:rFonts w:hint="default" w:ascii="Times New Roman" w:hAnsi="Times New Roman" w:eastAsia="方正仿宋_GBK" w:cs="Times New Roman"/>
          <w:color w:val="000000"/>
          <w:sz w:val="36"/>
          <w:szCs w:val="36"/>
        </w:rPr>
      </w:pPr>
    </w:p>
    <w:p w14:paraId="0CE0B5DD">
      <w:pPr>
        <w:spacing w:line="700" w:lineRule="exact"/>
        <w:jc w:val="center"/>
        <w:rPr>
          <w:rFonts w:hint="default" w:ascii="Times New Roman" w:hAnsi="Times New Roman" w:eastAsia="方正仿宋_GBK" w:cs="Times New Roman"/>
          <w:color w:val="000000"/>
          <w:sz w:val="36"/>
          <w:szCs w:val="36"/>
        </w:rPr>
      </w:pPr>
    </w:p>
    <w:p w14:paraId="76DFD6D3">
      <w:pPr>
        <w:spacing w:line="500" w:lineRule="exact"/>
        <w:ind w:firstLine="1440" w:firstLineChars="400"/>
        <w:jc w:val="both"/>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w:t>
      </w:r>
      <w:r>
        <w:rPr>
          <w:rFonts w:hint="eastAsia" w:eastAsia="方正仿宋_GBK" w:cs="Times New Roman"/>
          <w:color w:val="000000"/>
          <w:sz w:val="36"/>
          <w:szCs w:val="36"/>
          <w:lang w:val="en-US" w:eastAsia="zh-CN"/>
        </w:rPr>
        <w:t xml:space="preserve"> </w:t>
      </w:r>
      <w:r>
        <w:rPr>
          <w:rFonts w:hint="default" w:ascii="Times New Roman" w:hAnsi="Times New Roman" w:eastAsia="方正仿宋_GBK" w:cs="Times New Roman"/>
          <w:color w:val="000000"/>
          <w:sz w:val="36"/>
          <w:szCs w:val="36"/>
        </w:rPr>
        <w:t xml:space="preserve">  购  人：重庆市商务委员会</w:t>
      </w:r>
    </w:p>
    <w:p w14:paraId="50356BF3">
      <w:pPr>
        <w:spacing w:line="500" w:lineRule="exact"/>
        <w:jc w:val="center"/>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采购代理机构：四川国际招标有限责任公司</w:t>
      </w:r>
    </w:p>
    <w:p w14:paraId="195A5AAF">
      <w:pPr>
        <w:snapToGrid w:val="0"/>
        <w:spacing w:line="500" w:lineRule="exact"/>
        <w:jc w:val="center"/>
        <w:rPr>
          <w:rFonts w:hint="default" w:ascii="Times New Roman" w:hAnsi="Times New Roman" w:eastAsia="方正仿宋_GBK" w:cs="Times New Roman"/>
          <w:color w:val="000000"/>
          <w:sz w:val="36"/>
          <w:szCs w:val="36"/>
        </w:rPr>
      </w:pPr>
    </w:p>
    <w:p w14:paraId="69107C4E">
      <w:pPr>
        <w:spacing w:line="720" w:lineRule="exact"/>
        <w:jc w:val="center"/>
        <w:rPr>
          <w:rFonts w:hint="default" w:ascii="Times New Roman" w:hAnsi="Times New Roman" w:eastAsia="方正仿宋_GBK" w:cs="Times New Roman"/>
          <w:color w:val="000000"/>
          <w:sz w:val="48"/>
          <w:szCs w:val="32"/>
        </w:rPr>
      </w:pPr>
      <w:r>
        <w:rPr>
          <w:rFonts w:hint="default" w:ascii="Times New Roman" w:hAnsi="Times New Roman" w:eastAsia="方正仿宋_GBK" w:cs="Times New Roman"/>
          <w:color w:val="000000"/>
          <w:sz w:val="36"/>
          <w:szCs w:val="36"/>
        </w:rPr>
        <w:t>二〇二</w:t>
      </w:r>
      <w:r>
        <w:rPr>
          <w:rFonts w:hint="default" w:ascii="Times New Roman" w:hAnsi="Times New Roman" w:eastAsia="方正仿宋_GBK" w:cs="Times New Roman"/>
          <w:color w:val="000000"/>
          <w:sz w:val="36"/>
          <w:szCs w:val="36"/>
          <w:lang w:val="en-US" w:eastAsia="zh-CN"/>
        </w:rPr>
        <w:t>五</w:t>
      </w:r>
      <w:r>
        <w:rPr>
          <w:rFonts w:hint="default" w:ascii="Times New Roman" w:hAnsi="Times New Roman" w:eastAsia="方正仿宋_GBK" w:cs="Times New Roman"/>
          <w:color w:val="000000"/>
          <w:sz w:val="36"/>
          <w:szCs w:val="36"/>
        </w:rPr>
        <w:t>年</w:t>
      </w:r>
      <w:r>
        <w:rPr>
          <w:rFonts w:hint="eastAsia" w:eastAsia="方正仿宋_GBK" w:cs="Times New Roman"/>
          <w:color w:val="000000"/>
          <w:sz w:val="36"/>
          <w:szCs w:val="36"/>
          <w:lang w:val="en-US" w:eastAsia="zh-CN"/>
        </w:rPr>
        <w:t>六</w:t>
      </w:r>
      <w:r>
        <w:rPr>
          <w:rFonts w:hint="default" w:ascii="Times New Roman" w:hAnsi="Times New Roman" w:eastAsia="方正仿宋_GBK" w:cs="Times New Roman"/>
          <w:color w:val="000000"/>
          <w:sz w:val="36"/>
          <w:szCs w:val="36"/>
        </w:rPr>
        <w:t>月</w:t>
      </w:r>
    </w:p>
    <w:p w14:paraId="191D6F11">
      <w:pPr>
        <w:spacing w:line="720" w:lineRule="exact"/>
        <w:jc w:val="center"/>
        <w:rPr>
          <w:rFonts w:hint="default" w:ascii="Times New Roman" w:hAnsi="Times New Roman" w:eastAsia="方正仿宋_GBK" w:cs="Times New Roman"/>
          <w:color w:val="000000"/>
          <w:sz w:val="48"/>
          <w:szCs w:val="3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14:paraId="6D0DBD00">
      <w:pPr>
        <w:pStyle w:val="40"/>
        <w:tabs>
          <w:tab w:val="right" w:leader="dot" w:pos="9071"/>
        </w:tabs>
        <w:rPr>
          <w:rFonts w:hint="default" w:ascii="Times New Roman" w:hAnsi="Times New Roman" w:eastAsia="方正仿宋_GBK" w:cs="Times New Roman"/>
          <w:color w:val="000000"/>
          <w:szCs w:val="21"/>
        </w:rPr>
      </w:pPr>
      <w:bookmarkStart w:id="0" w:name="_Toc12789052"/>
      <w:bookmarkStart w:id="1" w:name="_Toc29834"/>
      <w:bookmarkStart w:id="2" w:name="_Toc11641050"/>
    </w:p>
    <w:p w14:paraId="34E3570A">
      <w:pPr>
        <w:pStyle w:val="40"/>
        <w:tabs>
          <w:tab w:val="right" w:leader="dot" w:pos="9071"/>
        </w:tabs>
        <w:spacing w:line="240" w:lineRule="auto"/>
        <w:rPr>
          <w:rFonts w:hint="default" w:ascii="Times New Roman" w:hAnsi="Times New Roman" w:eastAsia="方正仿宋_GBK" w:cs="Times New Roman"/>
          <w:color w:val="000000"/>
          <w:sz w:val="44"/>
          <w:szCs w:val="44"/>
        </w:rPr>
      </w:pPr>
      <w:r>
        <w:rPr>
          <w:rFonts w:hint="default" w:ascii="Times New Roman" w:hAnsi="Times New Roman" w:eastAsia="方正仿宋_GBK" w:cs="Times New Roman"/>
          <w:color w:val="000000"/>
          <w:sz w:val="44"/>
          <w:szCs w:val="44"/>
        </w:rPr>
        <w:t>目录</w:t>
      </w:r>
    </w:p>
    <w:p w14:paraId="1048163C">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jc w:val="both"/>
        <w:textAlignment w:val="auto"/>
        <w:rPr>
          <w:rFonts w:hint="default" w:ascii="Times New Roman" w:hAnsi="Times New Roman" w:eastAsia="方正仿宋_GBK" w:cs="Times New Roman"/>
          <w:color w:val="000000"/>
          <w:szCs w:val="21"/>
        </w:rPr>
      </w:pPr>
    </w:p>
    <w:p w14:paraId="7DA85461">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color w:val="000000"/>
          <w:szCs w:val="21"/>
        </w:rPr>
        <w:instrText xml:space="preserve">TOC \o "1-3" \h \u </w:instrText>
      </w:r>
      <w:r>
        <w:rPr>
          <w:rFonts w:hint="default" w:ascii="Times New Roman" w:hAnsi="Times New Roman" w:eastAsia="方正仿宋_GBK" w:cs="Times New Roman"/>
          <w:color w:val="000000"/>
          <w:szCs w:val="21"/>
        </w:rPr>
        <w:fldChar w:fldCharType="separate"/>
      </w: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_Toc20011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第一篇  比选邀请书</w:t>
      </w:r>
      <w:r>
        <w:tab/>
      </w:r>
      <w:r>
        <w:fldChar w:fldCharType="begin"/>
      </w:r>
      <w:r>
        <w:instrText xml:space="preserve"> PAGEREF _Toc20011 \h </w:instrText>
      </w:r>
      <w:r>
        <w:fldChar w:fldCharType="separate"/>
      </w:r>
      <w:r>
        <w:t>- 3 -</w:t>
      </w:r>
      <w:r>
        <w:fldChar w:fldCharType="end"/>
      </w:r>
      <w:r>
        <w:rPr>
          <w:rFonts w:hint="default" w:ascii="Times New Roman" w:hAnsi="Times New Roman" w:eastAsia="方正仿宋_GBK" w:cs="Times New Roman"/>
          <w:color w:val="000000"/>
          <w:szCs w:val="21"/>
        </w:rPr>
        <w:fldChar w:fldCharType="end"/>
      </w:r>
    </w:p>
    <w:p w14:paraId="6294DE99">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_Toc8480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第二篇  项目服务需求</w:t>
      </w:r>
      <w:r>
        <w:tab/>
      </w:r>
      <w:r>
        <w:fldChar w:fldCharType="begin"/>
      </w:r>
      <w:r>
        <w:instrText xml:space="preserve"> PAGEREF _Toc8480 \h </w:instrText>
      </w:r>
      <w:r>
        <w:fldChar w:fldCharType="separate"/>
      </w:r>
      <w:r>
        <w:t>- 6 -</w:t>
      </w:r>
      <w:r>
        <w:fldChar w:fldCharType="end"/>
      </w:r>
      <w:r>
        <w:rPr>
          <w:rFonts w:hint="default" w:ascii="Times New Roman" w:hAnsi="Times New Roman" w:eastAsia="方正仿宋_GBK" w:cs="Times New Roman"/>
          <w:color w:val="000000"/>
          <w:szCs w:val="21"/>
        </w:rPr>
        <w:fldChar w:fldCharType="end"/>
      </w:r>
    </w:p>
    <w:p w14:paraId="5EF419B3">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_Toc23008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第三篇  项目商务需求</w:t>
      </w:r>
      <w:r>
        <w:tab/>
      </w:r>
      <w:r>
        <w:fldChar w:fldCharType="begin"/>
      </w:r>
      <w:r>
        <w:instrText xml:space="preserve"> PAGEREF _Toc23008 \h </w:instrText>
      </w:r>
      <w:r>
        <w:fldChar w:fldCharType="separate"/>
      </w:r>
      <w:r>
        <w:t>- 8 -</w:t>
      </w:r>
      <w:r>
        <w:fldChar w:fldCharType="end"/>
      </w:r>
      <w:r>
        <w:rPr>
          <w:rFonts w:hint="default" w:ascii="Times New Roman" w:hAnsi="Times New Roman" w:eastAsia="方正仿宋_GBK" w:cs="Times New Roman"/>
          <w:color w:val="000000"/>
          <w:szCs w:val="21"/>
        </w:rPr>
        <w:fldChar w:fldCharType="end"/>
      </w:r>
    </w:p>
    <w:p w14:paraId="71439565">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_Toc119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第四篇  资格审查及评审办法</w:t>
      </w:r>
      <w:r>
        <w:tab/>
      </w:r>
      <w:r>
        <w:fldChar w:fldCharType="begin"/>
      </w:r>
      <w:r>
        <w:instrText xml:space="preserve"> PAGEREF _Toc119 \h </w:instrText>
      </w:r>
      <w:r>
        <w:fldChar w:fldCharType="separate"/>
      </w:r>
      <w:r>
        <w:t>- 10 -</w:t>
      </w:r>
      <w:r>
        <w:fldChar w:fldCharType="end"/>
      </w:r>
      <w:r>
        <w:rPr>
          <w:rFonts w:hint="default" w:ascii="Times New Roman" w:hAnsi="Times New Roman" w:eastAsia="方正仿宋_GBK" w:cs="Times New Roman"/>
          <w:color w:val="000000"/>
          <w:szCs w:val="21"/>
        </w:rPr>
        <w:fldChar w:fldCharType="end"/>
      </w:r>
    </w:p>
    <w:p w14:paraId="2039DBA4">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_Toc10525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第五篇  供应商须知</w:t>
      </w:r>
      <w:r>
        <w:tab/>
      </w:r>
      <w:r>
        <w:fldChar w:fldCharType="begin"/>
      </w:r>
      <w:r>
        <w:instrText xml:space="preserve"> PAGEREF _Toc10525 \h </w:instrText>
      </w:r>
      <w:r>
        <w:fldChar w:fldCharType="separate"/>
      </w:r>
      <w:r>
        <w:t>- 15 -</w:t>
      </w:r>
      <w:r>
        <w:fldChar w:fldCharType="end"/>
      </w:r>
      <w:r>
        <w:rPr>
          <w:rFonts w:hint="default" w:ascii="Times New Roman" w:hAnsi="Times New Roman" w:eastAsia="方正仿宋_GBK" w:cs="Times New Roman"/>
          <w:color w:val="000000"/>
          <w:szCs w:val="21"/>
        </w:rPr>
        <w:fldChar w:fldCharType="end"/>
      </w:r>
    </w:p>
    <w:p w14:paraId="13EFDE30">
      <w:pPr>
        <w:pStyle w:val="40"/>
        <w:keepNext w:val="0"/>
        <w:keepLines w:val="0"/>
        <w:pageBreakBefore w:val="0"/>
        <w:widowControl w:val="0"/>
        <w:tabs>
          <w:tab w:val="right" w:leader="dot" w:pos="9071"/>
        </w:tabs>
        <w:kinsoku/>
        <w:wordWrap/>
        <w:overflowPunct/>
        <w:topLinePunct w:val="0"/>
        <w:autoSpaceDE/>
        <w:autoSpaceDN/>
        <w:bidi w:val="0"/>
        <w:adjustRightInd/>
        <w:snapToGrid/>
        <w:spacing w:line="600" w:lineRule="exact"/>
        <w:textAlignment w:val="auto"/>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_Toc27931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第六篇  响应文件编制要求</w:t>
      </w:r>
      <w:r>
        <w:tab/>
      </w:r>
      <w:r>
        <w:fldChar w:fldCharType="begin"/>
      </w:r>
      <w:r>
        <w:instrText xml:space="preserve"> PAGEREF _Toc27931 \h </w:instrText>
      </w:r>
      <w:r>
        <w:fldChar w:fldCharType="separate"/>
      </w:r>
      <w:r>
        <w:t>- 20 -</w:t>
      </w:r>
      <w:r>
        <w:fldChar w:fldCharType="end"/>
      </w:r>
      <w:r>
        <w:rPr>
          <w:rFonts w:hint="default" w:ascii="Times New Roman" w:hAnsi="Times New Roman" w:eastAsia="方正仿宋_GBK" w:cs="Times New Roman"/>
          <w:color w:val="000000"/>
          <w:szCs w:val="21"/>
        </w:rPr>
        <w:fldChar w:fldCharType="end"/>
      </w:r>
    </w:p>
    <w:p w14:paraId="5B1DF638">
      <w:pPr>
        <w:pStyle w:val="49"/>
        <w:keepNext w:val="0"/>
        <w:keepLines w:val="0"/>
        <w:pageBreakBefore w:val="0"/>
        <w:widowControl w:val="0"/>
        <w:tabs>
          <w:tab w:val="right" w:leader="dot" w:pos="9402"/>
        </w:tabs>
        <w:kinsoku/>
        <w:wordWrap/>
        <w:overflowPunct/>
        <w:topLinePunct w:val="0"/>
        <w:autoSpaceDE/>
        <w:autoSpaceDN/>
        <w:bidi w:val="0"/>
        <w:adjustRightInd/>
        <w:snapToGrid/>
        <w:spacing w:line="600" w:lineRule="exact"/>
        <w:ind w:left="560"/>
        <w:jc w:val="center"/>
        <w:textAlignment w:val="auto"/>
        <w:rPr>
          <w:rFonts w:hint="default" w:ascii="Times New Roman" w:hAnsi="Times New Roman" w:eastAsia="方正仿宋_GBK" w:cs="Times New Roman"/>
          <w:color w:val="000000"/>
          <w:szCs w:val="21"/>
        </w:rPr>
      </w:pPr>
      <w:r>
        <w:rPr>
          <w:rFonts w:hint="default" w:ascii="Times New Roman" w:hAnsi="Times New Roman" w:eastAsia="方正仿宋_GBK" w:cs="Times New Roman"/>
          <w:color w:val="000000"/>
          <w:szCs w:val="21"/>
        </w:rPr>
        <w:fldChar w:fldCharType="end"/>
      </w:r>
    </w:p>
    <w:p w14:paraId="47B67963">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Cs w:val="21"/>
        </w:rPr>
        <w:br w:type="page"/>
      </w:r>
      <w:bookmarkStart w:id="3" w:name="_Toc20011"/>
      <w:r>
        <w:rPr>
          <w:rFonts w:hint="default" w:ascii="Times New Roman" w:hAnsi="Times New Roman" w:eastAsia="方正仿宋_GBK" w:cs="Times New Roman"/>
          <w:color w:val="000000"/>
          <w:sz w:val="36"/>
          <w:szCs w:val="30"/>
        </w:rPr>
        <w:t>第一篇  比选邀请书</w:t>
      </w:r>
      <w:bookmarkEnd w:id="0"/>
      <w:bookmarkEnd w:id="1"/>
      <w:bookmarkEnd w:id="2"/>
      <w:bookmarkEnd w:id="3"/>
    </w:p>
    <w:p w14:paraId="606524C7">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重庆市商务委员会（以下简称：采购人）对</w:t>
      </w:r>
      <w:r>
        <w:rPr>
          <w:rFonts w:hint="eastAsia" w:eastAsia="方正仿宋_GBK" w:cs="Times New Roman"/>
          <w:color w:val="000000"/>
          <w:sz w:val="24"/>
          <w:szCs w:val="24"/>
          <w:lang w:eastAsia="zh-CN"/>
        </w:rPr>
        <w:t>渝贸全球•重庆摩托车及零配件（意大利）展览会及赴罗马尼亚开展经贸活动</w:t>
      </w:r>
      <w:r>
        <w:rPr>
          <w:rFonts w:hint="default" w:ascii="Times New Roman" w:hAnsi="Times New Roman" w:eastAsia="方正仿宋_GBK" w:cs="Times New Roman"/>
          <w:color w:val="000000"/>
          <w:sz w:val="24"/>
          <w:szCs w:val="24"/>
        </w:rPr>
        <w:t>进行竞争性比选采购，欢迎有资格的供应商前来参与比选。</w:t>
      </w:r>
    </w:p>
    <w:p w14:paraId="1D36CCA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 w:name="_Toc317775175"/>
      <w:bookmarkStart w:id="5" w:name="_Toc313893526"/>
      <w:bookmarkStart w:id="6" w:name="_Toc20570"/>
      <w:r>
        <w:rPr>
          <w:rFonts w:hint="default" w:ascii="Times New Roman" w:hAnsi="Times New Roman" w:eastAsia="方正仿宋_GBK" w:cs="Times New Roman"/>
          <w:color w:val="000000"/>
          <w:sz w:val="24"/>
        </w:rPr>
        <w:t>一、竞争性比选内容</w:t>
      </w:r>
      <w:bookmarkEnd w:id="4"/>
      <w:bookmarkEnd w:id="5"/>
      <w:bookmarkEnd w:id="6"/>
    </w:p>
    <w:tbl>
      <w:tblPr>
        <w:tblStyle w:val="59"/>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6"/>
        <w:gridCol w:w="1934"/>
        <w:gridCol w:w="1648"/>
        <w:gridCol w:w="2372"/>
      </w:tblGrid>
      <w:tr w14:paraId="2ED37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506" w:type="dxa"/>
            <w:tcBorders>
              <w:top w:val="single" w:color="auto" w:sz="4" w:space="0"/>
              <w:left w:val="single" w:color="auto" w:sz="4" w:space="0"/>
              <w:right w:val="single" w:color="auto" w:sz="4" w:space="0"/>
            </w:tcBorders>
            <w:vAlign w:val="center"/>
          </w:tcPr>
          <w:p w14:paraId="0E0E9433">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标的名称</w:t>
            </w:r>
          </w:p>
        </w:tc>
        <w:tc>
          <w:tcPr>
            <w:tcW w:w="1934" w:type="dxa"/>
            <w:tcBorders>
              <w:top w:val="single" w:color="auto" w:sz="4" w:space="0"/>
              <w:left w:val="single" w:color="auto" w:sz="4" w:space="0"/>
              <w:right w:val="single" w:color="auto" w:sz="4" w:space="0"/>
            </w:tcBorders>
            <w:vAlign w:val="center"/>
          </w:tcPr>
          <w:p w14:paraId="364091EB">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最高限价</w:t>
            </w:r>
          </w:p>
          <w:p w14:paraId="3F11CF25">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（万元）</w:t>
            </w:r>
          </w:p>
        </w:tc>
        <w:tc>
          <w:tcPr>
            <w:tcW w:w="1648" w:type="dxa"/>
            <w:tcBorders>
              <w:top w:val="single" w:color="auto" w:sz="4" w:space="0"/>
              <w:left w:val="single" w:color="auto" w:sz="4" w:space="0"/>
              <w:right w:val="single" w:color="auto" w:sz="4" w:space="0"/>
            </w:tcBorders>
            <w:vAlign w:val="center"/>
          </w:tcPr>
          <w:p w14:paraId="008565F2">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成交供应商数量（名）</w:t>
            </w:r>
          </w:p>
        </w:tc>
        <w:tc>
          <w:tcPr>
            <w:tcW w:w="2372" w:type="dxa"/>
            <w:tcBorders>
              <w:top w:val="single" w:color="auto" w:sz="4" w:space="0"/>
              <w:left w:val="single" w:color="auto" w:sz="4" w:space="0"/>
              <w:right w:val="single" w:color="auto" w:sz="4" w:space="0"/>
            </w:tcBorders>
            <w:vAlign w:val="center"/>
          </w:tcPr>
          <w:p w14:paraId="4207EED8">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采购标的对应的中小企业划分标准所属行业</w:t>
            </w:r>
          </w:p>
        </w:tc>
      </w:tr>
      <w:tr w14:paraId="2E198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3506" w:type="dxa"/>
            <w:tcBorders>
              <w:top w:val="single" w:color="auto" w:sz="4" w:space="0"/>
              <w:left w:val="single" w:color="auto" w:sz="4" w:space="0"/>
              <w:right w:val="single" w:color="auto" w:sz="4" w:space="0"/>
            </w:tcBorders>
            <w:vAlign w:val="center"/>
          </w:tcPr>
          <w:p w14:paraId="6E9DFAED">
            <w:pPr>
              <w:widowControl/>
              <w:spacing w:line="500" w:lineRule="exact"/>
              <w:jc w:val="center"/>
              <w:rPr>
                <w:rFonts w:hint="default" w:ascii="Times New Roman" w:hAnsi="Times New Roman" w:eastAsia="方正仿宋_GBK" w:cs="Times New Roman"/>
                <w:color w:val="000000"/>
                <w:kern w:val="0"/>
                <w:sz w:val="21"/>
                <w:szCs w:val="24"/>
                <w:lang w:eastAsia="zh-CN"/>
              </w:rPr>
            </w:pPr>
            <w:bookmarkStart w:id="7" w:name="_Hlk344477914"/>
            <w:r>
              <w:rPr>
                <w:rFonts w:hint="eastAsia" w:eastAsia="方正仿宋_GBK" w:cs="Times New Roman"/>
                <w:color w:val="000000"/>
                <w:kern w:val="0"/>
                <w:sz w:val="21"/>
                <w:szCs w:val="24"/>
                <w:lang w:eastAsia="zh-CN"/>
              </w:rPr>
              <w:t>渝贸全球•重庆摩托车及零配件（意大利）展览会及赴罗马尼亚开展经贸活动</w:t>
            </w:r>
          </w:p>
        </w:tc>
        <w:tc>
          <w:tcPr>
            <w:tcW w:w="1934" w:type="dxa"/>
            <w:tcBorders>
              <w:top w:val="single" w:color="auto" w:sz="4" w:space="0"/>
              <w:left w:val="single" w:color="auto" w:sz="4" w:space="0"/>
              <w:right w:val="single" w:color="auto" w:sz="4" w:space="0"/>
            </w:tcBorders>
            <w:vAlign w:val="center"/>
          </w:tcPr>
          <w:p w14:paraId="017A3A6F">
            <w:pPr>
              <w:widowControl/>
              <w:spacing w:line="500" w:lineRule="exact"/>
              <w:jc w:val="center"/>
              <w:rPr>
                <w:rFonts w:hint="default" w:ascii="Times New Roman" w:hAnsi="Times New Roman"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47.5</w:t>
            </w:r>
          </w:p>
        </w:tc>
        <w:tc>
          <w:tcPr>
            <w:tcW w:w="1648" w:type="dxa"/>
            <w:tcBorders>
              <w:top w:val="single" w:color="auto" w:sz="4" w:space="0"/>
              <w:left w:val="single" w:color="auto" w:sz="4" w:space="0"/>
              <w:right w:val="single" w:color="auto" w:sz="4" w:space="0"/>
            </w:tcBorders>
            <w:vAlign w:val="center"/>
          </w:tcPr>
          <w:p w14:paraId="303C9140">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w:t>
            </w:r>
          </w:p>
        </w:tc>
        <w:tc>
          <w:tcPr>
            <w:tcW w:w="2372" w:type="dxa"/>
            <w:tcBorders>
              <w:top w:val="single" w:color="auto" w:sz="4" w:space="0"/>
              <w:left w:val="single" w:color="auto" w:sz="4" w:space="0"/>
              <w:right w:val="single" w:color="auto" w:sz="4" w:space="0"/>
            </w:tcBorders>
            <w:vAlign w:val="center"/>
          </w:tcPr>
          <w:p w14:paraId="2ABB6440">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lang w:eastAsia="zh-CN"/>
              </w:rPr>
              <w:t>租赁和商务服务业</w:t>
            </w:r>
          </w:p>
        </w:tc>
      </w:tr>
      <w:bookmarkEnd w:id="7"/>
    </w:tbl>
    <w:p w14:paraId="1B0BFA66">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8" w:name="_Toc10320"/>
      <w:bookmarkStart w:id="9" w:name="_Toc373860293"/>
      <w:bookmarkStart w:id="10" w:name="_Toc317775178"/>
      <w:r>
        <w:rPr>
          <w:rFonts w:hint="default" w:ascii="Times New Roman" w:hAnsi="Times New Roman" w:eastAsia="方正仿宋_GBK" w:cs="Times New Roman"/>
          <w:color w:val="000000"/>
          <w:sz w:val="24"/>
        </w:rPr>
        <w:t>二、资金来源</w:t>
      </w:r>
      <w:bookmarkEnd w:id="8"/>
    </w:p>
    <w:p w14:paraId="404C86F8">
      <w:pPr>
        <w:spacing w:line="500" w:lineRule="exact"/>
        <w:ind w:firstLine="480" w:firstLineChars="200"/>
        <w:rPr>
          <w:rFonts w:hint="default" w:ascii="Times New Roman" w:hAnsi="Times New Roman" w:eastAsia="方正仿宋_GBK" w:cs="Times New Roman"/>
          <w:color w:val="000000"/>
          <w:sz w:val="24"/>
          <w:szCs w:val="24"/>
          <w:lang w:eastAsia="zh-CN"/>
        </w:rPr>
      </w:pPr>
      <w:r>
        <w:rPr>
          <w:rFonts w:hint="default" w:ascii="Times New Roman" w:hAnsi="Times New Roman" w:eastAsia="方正仿宋_GBK" w:cs="Times New Roman"/>
          <w:color w:val="000000"/>
          <w:sz w:val="24"/>
          <w:szCs w:val="24"/>
          <w:highlight w:val="none"/>
        </w:rPr>
        <w:t>财政预算资金，预算金额</w:t>
      </w:r>
      <w:r>
        <w:rPr>
          <w:rFonts w:hint="eastAsia" w:eastAsia="方正仿宋_GBK" w:cs="Times New Roman"/>
          <w:color w:val="000000"/>
          <w:sz w:val="24"/>
          <w:szCs w:val="24"/>
          <w:highlight w:val="none"/>
          <w:lang w:val="en-US" w:eastAsia="zh-CN"/>
        </w:rPr>
        <w:t>47.5</w:t>
      </w:r>
      <w:r>
        <w:rPr>
          <w:rFonts w:hint="default" w:ascii="Times New Roman" w:hAnsi="Times New Roman" w:eastAsia="方正仿宋_GBK" w:cs="Times New Roman"/>
          <w:color w:val="000000"/>
          <w:sz w:val="24"/>
          <w:szCs w:val="24"/>
          <w:highlight w:val="none"/>
        </w:rPr>
        <w:t>万元。其中公务活动</w:t>
      </w:r>
      <w:r>
        <w:rPr>
          <w:rFonts w:hint="eastAsia" w:eastAsia="方正仿宋_GBK" w:cs="Times New Roman"/>
          <w:color w:val="000000"/>
          <w:sz w:val="24"/>
          <w:szCs w:val="24"/>
          <w:highlight w:val="none"/>
          <w:lang w:eastAsia="zh-CN"/>
        </w:rPr>
        <w:t>（</w:t>
      </w:r>
      <w:r>
        <w:rPr>
          <w:rFonts w:hint="eastAsia" w:eastAsia="方正仿宋_GBK" w:cs="Times New Roman"/>
          <w:color w:val="000000"/>
          <w:sz w:val="24"/>
          <w:szCs w:val="24"/>
          <w:highlight w:val="none"/>
          <w:lang w:val="en-US" w:eastAsia="zh-CN"/>
        </w:rPr>
        <w:t>对接会及形象展区</w:t>
      </w:r>
      <w:r>
        <w:rPr>
          <w:rFonts w:hint="eastAsia" w:eastAsia="方正仿宋_GBK" w:cs="Times New Roman"/>
          <w:color w:val="000000"/>
          <w:sz w:val="24"/>
          <w:szCs w:val="24"/>
          <w:highlight w:val="none"/>
          <w:lang w:eastAsia="zh-CN"/>
        </w:rPr>
        <w:t>）</w:t>
      </w:r>
      <w:r>
        <w:rPr>
          <w:rFonts w:hint="default" w:ascii="Times New Roman" w:hAnsi="Times New Roman" w:eastAsia="方正仿宋_GBK" w:cs="Times New Roman"/>
          <w:color w:val="000000"/>
          <w:sz w:val="24"/>
          <w:szCs w:val="24"/>
          <w:highlight w:val="none"/>
        </w:rPr>
        <w:t>不超过</w:t>
      </w:r>
      <w:r>
        <w:rPr>
          <w:rFonts w:hint="eastAsia" w:eastAsia="方正仿宋_GBK" w:cs="Times New Roman"/>
          <w:color w:val="000000"/>
          <w:sz w:val="24"/>
          <w:szCs w:val="24"/>
          <w:highlight w:val="none"/>
          <w:lang w:val="en-US" w:eastAsia="zh-CN"/>
        </w:rPr>
        <w:t>24.1</w:t>
      </w:r>
      <w:r>
        <w:rPr>
          <w:rFonts w:hint="default" w:ascii="Times New Roman" w:hAnsi="Times New Roman" w:eastAsia="方正仿宋_GBK" w:cs="Times New Roman"/>
          <w:color w:val="000000"/>
          <w:sz w:val="24"/>
          <w:szCs w:val="24"/>
          <w:highlight w:val="none"/>
        </w:rPr>
        <w:t>万元，因公出国人员费用不超过</w:t>
      </w:r>
      <w:r>
        <w:rPr>
          <w:rFonts w:hint="eastAsia" w:eastAsia="方正仿宋_GBK" w:cs="Times New Roman"/>
          <w:color w:val="000000"/>
          <w:sz w:val="24"/>
          <w:szCs w:val="24"/>
          <w:highlight w:val="none"/>
          <w:lang w:val="en-US" w:eastAsia="zh-CN"/>
        </w:rPr>
        <w:t>23.4</w:t>
      </w:r>
      <w:r>
        <w:rPr>
          <w:rFonts w:hint="default" w:ascii="Times New Roman" w:hAnsi="Times New Roman" w:eastAsia="方正仿宋_GBK" w:cs="Times New Roman"/>
          <w:color w:val="000000"/>
          <w:sz w:val="24"/>
          <w:szCs w:val="24"/>
          <w:highlight w:val="none"/>
        </w:rPr>
        <w:t>万元。</w:t>
      </w:r>
    </w:p>
    <w:p w14:paraId="517FAD7F">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1" w:name="_Toc14193"/>
      <w:r>
        <w:rPr>
          <w:rFonts w:hint="default" w:ascii="Times New Roman" w:hAnsi="Times New Roman" w:eastAsia="方正仿宋_GBK" w:cs="Times New Roman"/>
          <w:color w:val="000000"/>
          <w:sz w:val="24"/>
        </w:rPr>
        <w:t>三、供应商资格</w:t>
      </w:r>
      <w:bookmarkEnd w:id="11"/>
      <w:r>
        <w:rPr>
          <w:rFonts w:hint="default" w:ascii="Times New Roman" w:hAnsi="Times New Roman" w:eastAsia="方正仿宋_GBK" w:cs="Times New Roman"/>
          <w:color w:val="000000"/>
          <w:sz w:val="24"/>
        </w:rPr>
        <w:t>条件</w:t>
      </w:r>
    </w:p>
    <w:p w14:paraId="2F48C363">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（一）基本资格条件</w:t>
      </w:r>
    </w:p>
    <w:p w14:paraId="2C1F432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1.具有独立承担民事责任的能力；</w:t>
      </w:r>
    </w:p>
    <w:p w14:paraId="0157D0B2">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2.具有良好的商业信誉和健全的财务会计制度；</w:t>
      </w:r>
    </w:p>
    <w:p w14:paraId="2FCF6AC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3.具有履行合同所必需的设备和专业技术能力；</w:t>
      </w:r>
    </w:p>
    <w:p w14:paraId="226AE43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4.有依法缴纳税收的良好记录；</w:t>
      </w:r>
    </w:p>
    <w:p w14:paraId="7534489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5.参加政府采购活动前三年内，在经营活动中没有重大违法记录；</w:t>
      </w:r>
    </w:p>
    <w:p w14:paraId="5F80B98C">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6.法律、行政法规规定的其他条件。</w:t>
      </w:r>
    </w:p>
    <w:p w14:paraId="0017A553">
      <w:pPr>
        <w:snapToGrid w:val="0"/>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（二）落实政</w:t>
      </w:r>
      <w:r>
        <w:rPr>
          <w:rFonts w:hint="default" w:ascii="Times New Roman" w:hAnsi="Times New Roman" w:eastAsia="方正仿宋_GBK" w:cs="Times New Roman"/>
          <w:color w:val="auto"/>
          <w:sz w:val="24"/>
          <w:szCs w:val="24"/>
          <w:highlight w:val="none"/>
        </w:rPr>
        <w:t>府采购政策需满足的资格要求：</w:t>
      </w:r>
      <w:r>
        <w:rPr>
          <w:rFonts w:hint="eastAsia" w:eastAsia="方正仿宋_GBK" w:cs="Times New Roman"/>
          <w:color w:val="auto"/>
          <w:sz w:val="24"/>
          <w:szCs w:val="24"/>
          <w:highlight w:val="none"/>
          <w:lang w:val="en-US" w:eastAsia="zh-CN"/>
        </w:rPr>
        <w:t>无</w:t>
      </w:r>
      <w:r>
        <w:rPr>
          <w:rFonts w:hint="default" w:ascii="Times New Roman" w:hAnsi="Times New Roman" w:eastAsia="方正仿宋_GBK" w:cs="Times New Roman"/>
          <w:color w:val="auto"/>
          <w:sz w:val="24"/>
          <w:szCs w:val="24"/>
          <w:highlight w:val="none"/>
        </w:rPr>
        <w:t>。</w:t>
      </w:r>
    </w:p>
    <w:p w14:paraId="49068C66">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szCs w:val="24"/>
          <w:lang w:val="en-US" w:eastAsia="zh-CN"/>
        </w:rPr>
        <w:t>三</w:t>
      </w:r>
      <w:r>
        <w:rPr>
          <w:rFonts w:hint="default" w:ascii="Times New Roman" w:hAnsi="Times New Roman" w:eastAsia="方正仿宋_GBK" w:cs="Times New Roman"/>
          <w:color w:val="000000"/>
          <w:sz w:val="24"/>
          <w:szCs w:val="24"/>
        </w:rPr>
        <w:t>）特定资格条件</w:t>
      </w:r>
    </w:p>
    <w:p w14:paraId="01BCD6CC">
      <w:pPr>
        <w:adjustRightInd w:val="0"/>
        <w:snapToGrid w:val="0"/>
        <w:spacing w:line="500" w:lineRule="exact"/>
        <w:ind w:firstLine="480" w:firstLineChars="200"/>
        <w:rPr>
          <w:rFonts w:hint="default" w:ascii="Times New Roman" w:hAnsi="Times New Roman" w:eastAsia="方正仿宋_GBK" w:cs="Times New Roman"/>
          <w:color w:val="000000"/>
          <w:sz w:val="24"/>
          <w:szCs w:val="24"/>
          <w:lang w:eastAsia="zh-CN"/>
        </w:rPr>
      </w:pPr>
      <w:bookmarkStart w:id="12" w:name="_Toc31094"/>
      <w:r>
        <w:rPr>
          <w:rFonts w:hint="default" w:ascii="Times New Roman" w:hAnsi="Times New Roman" w:eastAsia="方正仿宋_GBK" w:cs="Times New Roman"/>
          <w:color w:val="000000"/>
          <w:sz w:val="24"/>
          <w:szCs w:val="24"/>
          <w:lang w:eastAsia="zh-CN"/>
        </w:rPr>
        <w:t>无。</w:t>
      </w:r>
    </w:p>
    <w:p w14:paraId="0A3D70D5">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四、比选有关说明</w:t>
      </w:r>
      <w:bookmarkEnd w:id="9"/>
      <w:bookmarkEnd w:id="12"/>
    </w:p>
    <w:p w14:paraId="0B37C490">
      <w:pPr>
        <w:snapToGrid w:val="0"/>
        <w:spacing w:line="500" w:lineRule="exact"/>
        <w:ind w:firstLine="360" w:firstLineChars="150"/>
        <w:rPr>
          <w:rFonts w:hint="default" w:ascii="Times New Roman" w:hAnsi="Times New Roman" w:eastAsia="方正仿宋_GBK" w:cs="Times New Roman"/>
          <w:color w:val="000000"/>
          <w:sz w:val="24"/>
          <w:szCs w:val="24"/>
        </w:rPr>
      </w:pPr>
      <w:bookmarkStart w:id="13" w:name="_Toc2010"/>
      <w:bookmarkStart w:id="14" w:name="_Toc373860294"/>
      <w:r>
        <w:rPr>
          <w:rFonts w:hint="default" w:ascii="Times New Roman" w:hAnsi="Times New Roman" w:eastAsia="方正仿宋_GBK" w:cs="Times New Roman"/>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14:paraId="431CA8A6">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（二）竞争性比选文件提供期限：</w:t>
      </w:r>
    </w:p>
    <w:p w14:paraId="19E12E67">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1.竞争性比选文件提供期限：202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eastAsia="方正仿宋_GBK" w:cs="Times New Roman"/>
          <w:color w:val="000000"/>
          <w:sz w:val="24"/>
          <w:szCs w:val="24"/>
          <w:lang w:val="en-US" w:eastAsia="zh-CN"/>
        </w:rPr>
        <w:t>6</w:t>
      </w:r>
      <w:r>
        <w:rPr>
          <w:rFonts w:hint="default" w:ascii="Times New Roman" w:hAnsi="Times New Roman" w:eastAsia="方正仿宋_GBK" w:cs="Times New Roman"/>
          <w:color w:val="000000"/>
          <w:sz w:val="24"/>
          <w:szCs w:val="24"/>
        </w:rPr>
        <w:t>月</w:t>
      </w:r>
      <w:r>
        <w:rPr>
          <w:rFonts w:hint="eastAsia" w:eastAsia="方正仿宋_GBK" w:cs="Times New Roman"/>
          <w:color w:val="000000"/>
          <w:sz w:val="24"/>
          <w:szCs w:val="24"/>
          <w:lang w:val="en-US" w:eastAsia="zh-CN"/>
        </w:rPr>
        <w:t>9</w:t>
      </w:r>
      <w:r>
        <w:rPr>
          <w:rFonts w:hint="default" w:ascii="Times New Roman" w:hAnsi="Times New Roman" w:eastAsia="方正仿宋_GBK" w:cs="Times New Roman"/>
          <w:color w:val="000000"/>
          <w:sz w:val="24"/>
          <w:szCs w:val="24"/>
        </w:rPr>
        <w:t>日至202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eastAsia="方正仿宋_GBK" w:cs="Times New Roman"/>
          <w:color w:val="000000"/>
          <w:sz w:val="24"/>
          <w:szCs w:val="24"/>
          <w:lang w:val="en-US" w:eastAsia="zh-CN"/>
        </w:rPr>
        <w:t>6</w:t>
      </w:r>
      <w:r>
        <w:rPr>
          <w:rFonts w:hint="default" w:ascii="Times New Roman" w:hAnsi="Times New Roman" w:eastAsia="方正仿宋_GBK" w:cs="Times New Roman"/>
          <w:color w:val="000000"/>
          <w:sz w:val="24"/>
          <w:szCs w:val="24"/>
        </w:rPr>
        <w:t>月</w:t>
      </w:r>
      <w:r>
        <w:rPr>
          <w:rFonts w:hint="eastAsia" w:eastAsia="方正仿宋_GBK" w:cs="Times New Roman"/>
          <w:color w:val="000000"/>
          <w:sz w:val="24"/>
          <w:szCs w:val="24"/>
          <w:lang w:val="en-US" w:eastAsia="zh-CN"/>
        </w:rPr>
        <w:t>12</w:t>
      </w:r>
      <w:r>
        <w:rPr>
          <w:rFonts w:hint="default" w:ascii="Times New Roman" w:hAnsi="Times New Roman" w:eastAsia="方正仿宋_GBK" w:cs="Times New Roman"/>
          <w:color w:val="000000"/>
          <w:sz w:val="24"/>
          <w:szCs w:val="24"/>
        </w:rPr>
        <w:t>日17:00（工作日）。</w:t>
      </w:r>
    </w:p>
    <w:p w14:paraId="64955564">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2.竞争性比选文件提供期限内：现场购买竞争性比选文件或非现场购买竞争性比选文件。</w:t>
      </w:r>
    </w:p>
    <w:p w14:paraId="6D2B7D84">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（1）现场购买竞争性比选文件</w:t>
      </w:r>
    </w:p>
    <w:p w14:paraId="1789984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在竞争性比选文件发售期内，供应商到采购代理机构重庆市渝北区星光大道90号土星A2座2409递交《竞争性比选文件发售登记表》附后（加盖供应商公章）并以现金方式购买竞争性比选文件。</w:t>
      </w:r>
    </w:p>
    <w:p w14:paraId="0A700298">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（2）非现场购买竞争性比选文件</w:t>
      </w:r>
    </w:p>
    <w:p w14:paraId="23B16FAF">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在获取期内，凡有意参加</w:t>
      </w:r>
      <w:r>
        <w:rPr>
          <w:rFonts w:hint="eastAsia" w:ascii="Times New Roman" w:hAnsi="Times New Roman" w:eastAsia="方正仿宋_GBK" w:cs="Times New Roman"/>
          <w:color w:val="000000"/>
          <w:sz w:val="24"/>
          <w:szCs w:val="24"/>
          <w:lang w:val="en-US" w:eastAsia="zh-CN"/>
        </w:rPr>
        <w:t>比选</w:t>
      </w:r>
      <w:r>
        <w:rPr>
          <w:rFonts w:hint="default" w:ascii="Times New Roman" w:hAnsi="Times New Roman" w:eastAsia="方正仿宋_GBK" w:cs="Times New Roman"/>
          <w:color w:val="000000"/>
          <w:sz w:val="24"/>
          <w:szCs w:val="24"/>
        </w:rPr>
        <w:t>的供应商，请在我司指定网站(http://sale.scbid.net)获取，具体流程详见该网站的“标书领取操作手册”。</w:t>
      </w:r>
    </w:p>
    <w:p w14:paraId="15ACF20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3.竞争性比选文件售价：人民币</w:t>
      </w:r>
      <w:r>
        <w:rPr>
          <w:rFonts w:hint="eastAsia" w:ascii="Times New Roman" w:hAnsi="Times New Roman" w:eastAsia="方正仿宋_GBK" w:cs="Times New Roman"/>
          <w:color w:val="000000"/>
          <w:sz w:val="24"/>
          <w:szCs w:val="24"/>
          <w:lang w:val="en-US" w:eastAsia="zh-CN"/>
        </w:rPr>
        <w:t>300</w:t>
      </w:r>
      <w:r>
        <w:rPr>
          <w:rFonts w:hint="default" w:ascii="Times New Roman" w:hAnsi="Times New Roman" w:eastAsia="方正仿宋_GBK" w:cs="Times New Roman"/>
          <w:color w:val="000000"/>
          <w:sz w:val="24"/>
          <w:szCs w:val="24"/>
        </w:rPr>
        <w:t>元/包。售后不退。</w:t>
      </w:r>
    </w:p>
    <w:p w14:paraId="4EC37B25">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4.若未进行报名及购买竞争性比选文件的，不接受其响应文件。</w:t>
      </w:r>
    </w:p>
    <w:p w14:paraId="013AF41D">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（三）递交响应文件地点：四川国际招标有限责任公司重庆分公司开标厅（重庆市渝北区星光大道90号土星A2座240</w:t>
      </w:r>
      <w:r>
        <w:rPr>
          <w:rFonts w:hint="default" w:ascii="Times New Roman" w:hAnsi="Times New Roman" w:eastAsia="方正仿宋_GBK" w:cs="Times New Roman"/>
          <w:color w:val="000000"/>
          <w:sz w:val="24"/>
          <w:szCs w:val="24"/>
          <w:lang w:val="en-US" w:eastAsia="zh-CN"/>
        </w:rPr>
        <w:t>8</w:t>
      </w:r>
      <w:r>
        <w:rPr>
          <w:rFonts w:hint="default" w:ascii="Times New Roman" w:hAnsi="Times New Roman" w:eastAsia="方正仿宋_GBK" w:cs="Times New Roman"/>
          <w:color w:val="000000"/>
          <w:sz w:val="24"/>
          <w:szCs w:val="24"/>
        </w:rPr>
        <w:t>）。</w:t>
      </w:r>
    </w:p>
    <w:p w14:paraId="2FBF3019">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（四）响应文件递交</w:t>
      </w:r>
      <w:r>
        <w:rPr>
          <w:rFonts w:hint="eastAsia" w:ascii="Times New Roman" w:hAnsi="Times New Roman" w:eastAsia="方正仿宋_GBK" w:cs="Times New Roman"/>
          <w:color w:val="000000"/>
          <w:sz w:val="24"/>
          <w:szCs w:val="24"/>
          <w:lang w:val="en-US" w:eastAsia="zh-CN"/>
        </w:rPr>
        <w:t>截止</w:t>
      </w:r>
      <w:r>
        <w:rPr>
          <w:rFonts w:hint="default" w:ascii="Times New Roman" w:hAnsi="Times New Roman" w:eastAsia="方正仿宋_GBK" w:cs="Times New Roman"/>
          <w:color w:val="000000"/>
          <w:sz w:val="24"/>
          <w:szCs w:val="24"/>
        </w:rPr>
        <w:t>时间：202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eastAsia="方正仿宋_GBK" w:cs="Times New Roman"/>
          <w:color w:val="000000"/>
          <w:sz w:val="24"/>
          <w:szCs w:val="24"/>
          <w:lang w:val="en-US" w:eastAsia="zh-CN"/>
        </w:rPr>
        <w:t>6</w:t>
      </w:r>
      <w:r>
        <w:rPr>
          <w:rFonts w:hint="default" w:ascii="Times New Roman" w:hAnsi="Times New Roman" w:eastAsia="方正仿宋_GBK" w:cs="Times New Roman"/>
          <w:color w:val="000000"/>
          <w:sz w:val="24"/>
          <w:szCs w:val="24"/>
        </w:rPr>
        <w:t>月</w:t>
      </w:r>
      <w:r>
        <w:rPr>
          <w:rFonts w:hint="eastAsia" w:eastAsia="方正仿宋_GBK" w:cs="Times New Roman"/>
          <w:color w:val="000000"/>
          <w:sz w:val="24"/>
          <w:szCs w:val="24"/>
          <w:lang w:val="en-US" w:eastAsia="zh-CN"/>
        </w:rPr>
        <w:t>13</w:t>
      </w:r>
      <w:r>
        <w:rPr>
          <w:rFonts w:hint="default" w:ascii="Times New Roman" w:hAnsi="Times New Roman" w:eastAsia="方正仿宋_GBK" w:cs="Times New Roman"/>
          <w:color w:val="000000"/>
          <w:sz w:val="24"/>
          <w:szCs w:val="24"/>
        </w:rPr>
        <w:t>日</w:t>
      </w:r>
      <w:r>
        <w:rPr>
          <w:rFonts w:hint="eastAsia" w:ascii="Times New Roman" w:hAnsi="Times New Roman" w:eastAsia="方正仿宋_GBK" w:cs="Times New Roman"/>
          <w:color w:val="000000"/>
          <w:sz w:val="24"/>
          <w:szCs w:val="24"/>
          <w:lang w:val="en-US" w:eastAsia="zh-CN"/>
        </w:rPr>
        <w:t>1</w:t>
      </w:r>
      <w:r>
        <w:rPr>
          <w:rFonts w:hint="eastAsia" w:eastAsia="方正仿宋_GBK" w:cs="Times New Roman"/>
          <w:color w:val="000000"/>
          <w:sz w:val="24"/>
          <w:szCs w:val="24"/>
          <w:lang w:val="en-US" w:eastAsia="zh-CN"/>
        </w:rPr>
        <w:t>0</w:t>
      </w:r>
      <w:r>
        <w:rPr>
          <w:rFonts w:hint="default"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0</w:t>
      </w:r>
      <w:r>
        <w:rPr>
          <w:rFonts w:hint="eastAsia" w:ascii="Times New Roman" w:hAnsi="Times New Roman" w:eastAsia="方正仿宋_GBK" w:cs="Times New Roman"/>
          <w:color w:val="000000"/>
          <w:sz w:val="24"/>
          <w:szCs w:val="24"/>
          <w:lang w:val="en-US" w:eastAsia="zh-CN"/>
        </w:rPr>
        <w:t>0</w:t>
      </w:r>
      <w:r>
        <w:rPr>
          <w:rFonts w:hint="default" w:ascii="Times New Roman" w:hAnsi="Times New Roman" w:eastAsia="方正仿宋_GBK" w:cs="Times New Roman"/>
          <w:color w:val="000000"/>
          <w:sz w:val="24"/>
          <w:szCs w:val="24"/>
        </w:rPr>
        <w:t>。</w:t>
      </w:r>
    </w:p>
    <w:p w14:paraId="495FFB4B">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（五）比选开始时间：同响应文件递交</w:t>
      </w:r>
      <w:r>
        <w:rPr>
          <w:rFonts w:hint="eastAsia" w:ascii="Times New Roman" w:hAnsi="Times New Roman" w:eastAsia="方正仿宋_GBK" w:cs="Times New Roman"/>
          <w:color w:val="000000"/>
          <w:sz w:val="24"/>
          <w:szCs w:val="24"/>
          <w:lang w:val="en-US" w:eastAsia="zh-CN"/>
        </w:rPr>
        <w:t>截止</w:t>
      </w:r>
      <w:r>
        <w:rPr>
          <w:rFonts w:hint="default" w:ascii="Times New Roman" w:hAnsi="Times New Roman" w:eastAsia="方正仿宋_GBK" w:cs="Times New Roman"/>
          <w:color w:val="000000"/>
          <w:sz w:val="24"/>
          <w:szCs w:val="24"/>
        </w:rPr>
        <w:t>时间</w:t>
      </w:r>
    </w:p>
    <w:p w14:paraId="156E242C">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五、</w:t>
      </w:r>
      <w:bookmarkEnd w:id="10"/>
      <w:bookmarkEnd w:id="13"/>
      <w:bookmarkEnd w:id="14"/>
      <w:r>
        <w:rPr>
          <w:rFonts w:hint="default" w:ascii="Times New Roman" w:hAnsi="Times New Roman" w:eastAsia="方正仿宋_GBK" w:cs="Times New Roman"/>
          <w:color w:val="000000"/>
          <w:sz w:val="24"/>
        </w:rPr>
        <w:t>比选保证金</w:t>
      </w:r>
    </w:p>
    <w:p w14:paraId="30356AB2">
      <w:pPr>
        <w:tabs>
          <w:tab w:val="left" w:pos="5933"/>
        </w:tabs>
        <w:spacing w:line="500" w:lineRule="exact"/>
        <w:ind w:firstLine="482" w:firstLineChars="200"/>
        <w:rPr>
          <w:rFonts w:hint="eastAsia" w:ascii="Times New Roman" w:hAnsi="Times New Roman" w:eastAsia="方正仿宋_GBK" w:cs="Times New Roman"/>
          <w:b/>
          <w:color w:val="000000"/>
          <w:sz w:val="24"/>
          <w:szCs w:val="24"/>
          <w:lang w:eastAsia="zh-CN"/>
        </w:rPr>
      </w:pPr>
      <w:r>
        <w:rPr>
          <w:rFonts w:hint="default" w:ascii="Times New Roman" w:hAnsi="Times New Roman" w:eastAsia="方正仿宋_GBK" w:cs="Times New Roman"/>
          <w:b/>
          <w:color w:val="000000"/>
          <w:sz w:val="24"/>
          <w:szCs w:val="24"/>
        </w:rPr>
        <w:t>本项目不收取比选保证金。</w:t>
      </w:r>
      <w:r>
        <w:rPr>
          <w:rFonts w:hint="eastAsia" w:eastAsia="方正仿宋_GBK" w:cs="Times New Roman"/>
          <w:b/>
          <w:color w:val="000000"/>
          <w:sz w:val="24"/>
          <w:szCs w:val="24"/>
          <w:lang w:eastAsia="zh-CN"/>
        </w:rPr>
        <w:tab/>
      </w:r>
    </w:p>
    <w:p w14:paraId="2008E40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5" w:name="_Toc480466699"/>
      <w:bookmarkStart w:id="16" w:name="_Toc14143"/>
      <w:r>
        <w:rPr>
          <w:rFonts w:hint="default" w:ascii="Times New Roman" w:hAnsi="Times New Roman" w:eastAsia="方正仿宋_GBK" w:cs="Times New Roman"/>
          <w:color w:val="000000"/>
          <w:sz w:val="24"/>
        </w:rPr>
        <w:t>六、其它有关规定</w:t>
      </w:r>
      <w:bookmarkEnd w:id="15"/>
      <w:bookmarkEnd w:id="16"/>
    </w:p>
    <w:p w14:paraId="0F7B2AA7">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（一）单位负责人为同一人或者存在直接控股、管理关系的不同供应商，不得参加同一合同项（包）下的政府采购活动，否则均为无效响应。</w:t>
      </w:r>
    </w:p>
    <w:p w14:paraId="652EC3B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（二）为采购项目提供整体设计、规范编制或者项目管理、监理、检测等服务的供应商，不得再参加该采购项目的其他采购活动。</w:t>
      </w:r>
    </w:p>
    <w:p w14:paraId="63CA0DCC">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（三）本项目的澄清文件（如果有）一律在“重庆市商务委员会”（https://sww.cq.gov.cn/）网站上发布，请各供应商注意下载；无论供应商下载与否，均视同供应商已知晓本项目澄清文件（如果有）的内容。</w:t>
      </w:r>
    </w:p>
    <w:p w14:paraId="271A251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（四）超过响应文件截止时间递交的响应文件，恕不接收。</w:t>
      </w:r>
    </w:p>
    <w:p w14:paraId="5C93BD7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（五）比选费用：无论比选结果如何，供应商参与本项目比选的所有费用均应由供应商自行承担。</w:t>
      </w:r>
    </w:p>
    <w:p w14:paraId="0D4F32F5">
      <w:pPr>
        <w:snapToGrid w:val="0"/>
        <w:spacing w:line="500" w:lineRule="exact"/>
        <w:ind w:firstLine="360" w:firstLineChars="15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color w:val="000000"/>
          <w:sz w:val="24"/>
          <w:szCs w:val="24"/>
        </w:rPr>
        <w:t>（六）</w:t>
      </w:r>
      <w:r>
        <w:rPr>
          <w:rFonts w:hint="default" w:ascii="Times New Roman" w:hAnsi="Times New Roman" w:eastAsia="方正仿宋_GBK" w:cs="Times New Roman"/>
          <w:b/>
          <w:color w:val="000000"/>
          <w:sz w:val="24"/>
          <w:szCs w:val="24"/>
        </w:rPr>
        <w:t>本项目不接受联合体参与比选。</w:t>
      </w:r>
    </w:p>
    <w:p w14:paraId="13494C49">
      <w:pPr>
        <w:snapToGrid w:val="0"/>
        <w:spacing w:line="500" w:lineRule="exact"/>
        <w:ind w:firstLine="360" w:firstLineChars="15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（七）</w:t>
      </w:r>
      <w:r>
        <w:rPr>
          <w:rFonts w:hint="default" w:ascii="Times New Roman" w:hAnsi="Times New Roman" w:eastAsia="方正仿宋_GBK" w:cs="Times New Roman"/>
          <w:b/>
          <w:color w:val="000000"/>
          <w:sz w:val="24"/>
          <w:szCs w:val="24"/>
          <w:highlight w:val="none"/>
        </w:rPr>
        <w:t>本项目不接受合同分包。</w:t>
      </w:r>
    </w:p>
    <w:p w14:paraId="783F7F3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w:t>
      </w:r>
      <w:bookmarkStart w:id="17" w:name="_Toc480466700"/>
      <w:r>
        <w:rPr>
          <w:rFonts w:hint="default" w:ascii="Times New Roman" w:hAnsi="Times New Roman" w:eastAsia="方正仿宋_GBK" w:cs="Times New Roman"/>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435F4F67">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8" w:name="_Toc20881"/>
      <w:r>
        <w:rPr>
          <w:rFonts w:hint="default" w:ascii="Times New Roman" w:hAnsi="Times New Roman" w:eastAsia="方正仿宋_GBK" w:cs="Times New Roman"/>
          <w:color w:val="000000"/>
          <w:sz w:val="24"/>
        </w:rPr>
        <w:t>七、联系方式</w:t>
      </w:r>
      <w:bookmarkEnd w:id="17"/>
      <w:bookmarkEnd w:id="18"/>
    </w:p>
    <w:p w14:paraId="363BCBAB">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采购人：重庆市商务委员会</w:t>
      </w:r>
    </w:p>
    <w:p w14:paraId="4A36C679">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default" w:ascii="Times New Roman" w:hAnsi="Times New Roman" w:eastAsia="方正仿宋_GBK" w:cs="Times New Roman"/>
          <w:color w:val="000000"/>
          <w:sz w:val="24"/>
          <w:szCs w:val="24"/>
          <w:lang w:val="en-US" w:eastAsia="zh-CN"/>
        </w:rPr>
        <w:t xml:space="preserve"> </w:t>
      </w:r>
      <w:r>
        <w:rPr>
          <w:rFonts w:hint="eastAsia" w:eastAsia="方正仿宋_GBK" w:cs="Times New Roman"/>
          <w:color w:val="000000"/>
          <w:sz w:val="24"/>
          <w:szCs w:val="24"/>
          <w:lang w:val="en-US" w:eastAsia="zh-CN"/>
        </w:rPr>
        <w:t>冉老师</w:t>
      </w:r>
    </w:p>
    <w:p w14:paraId="3224338E">
      <w:pPr>
        <w:snapToGrid w:val="0"/>
        <w:spacing w:line="500" w:lineRule="exact"/>
        <w:ind w:firstLine="480" w:firstLineChars="200"/>
        <w:rPr>
          <w:rFonts w:hint="default" w:ascii="Times New Roman" w:hAnsi="Times New Roman" w:eastAsia="方正仿宋_GBK" w:cs="Times New Roman"/>
          <w:color w:val="000000"/>
          <w:sz w:val="24"/>
          <w:szCs w:val="24"/>
          <w:lang w:val="en-US" w:eastAsia="zh"/>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023-62661180</w:t>
      </w:r>
    </w:p>
    <w:p w14:paraId="378DF6D1">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地  址：重庆市</w:t>
      </w:r>
      <w:r>
        <w:rPr>
          <w:rFonts w:hint="eastAsia" w:eastAsia="方正仿宋_GBK" w:cs="Times New Roman"/>
          <w:color w:val="000000"/>
          <w:sz w:val="24"/>
          <w:szCs w:val="24"/>
          <w:lang w:val="en-US" w:eastAsia="zh-CN"/>
        </w:rPr>
        <w:t>渝北区松石北路162号</w:t>
      </w:r>
    </w:p>
    <w:p w14:paraId="35FD126C">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采购代理机构：四川国际招标有限责任公司</w:t>
      </w:r>
    </w:p>
    <w:p w14:paraId="050930C9">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eastAsia" w:eastAsia="方正仿宋_GBK" w:cs="Times New Roman"/>
          <w:color w:val="000000"/>
          <w:sz w:val="24"/>
          <w:szCs w:val="24"/>
          <w:lang w:val="en-US" w:eastAsia="zh-CN"/>
        </w:rPr>
        <w:t>周涛</w:t>
      </w:r>
      <w:r>
        <w:rPr>
          <w:rFonts w:hint="default" w:ascii="Times New Roman" w:hAnsi="Times New Roman" w:eastAsia="方正仿宋_GBK" w:cs="Times New Roman"/>
          <w:color w:val="000000"/>
          <w:sz w:val="24"/>
          <w:szCs w:val="24"/>
        </w:rPr>
        <w:t>、甘鹏</w:t>
      </w:r>
      <w:r>
        <w:rPr>
          <w:rFonts w:hint="default" w:ascii="Times New Roman" w:hAnsi="Times New Roman"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lang w:val="en-US" w:eastAsia="zh-CN"/>
        </w:rPr>
        <w:t>丁春来</w:t>
      </w:r>
    </w:p>
    <w:p w14:paraId="15385800">
      <w:pPr>
        <w:snapToGrid w:val="0"/>
        <w:spacing w:line="500" w:lineRule="exact"/>
        <w:ind w:firstLine="480" w:firstLineChars="200"/>
        <w:rPr>
          <w:rFonts w:hint="default" w:ascii="Times New Roman" w:hAnsi="Times New Roman" w:eastAsia="方正仿宋_GBK" w:cs="Times New Roman"/>
          <w:color w:val="000000"/>
          <w:sz w:val="24"/>
          <w:szCs w:val="24"/>
          <w:lang w:val="en-US"/>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023-67825237</w:t>
      </w:r>
    </w:p>
    <w:p w14:paraId="6D985195">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地  址：重庆市渝北区星光大道90号土星A2座2409</w:t>
      </w:r>
    </w:p>
    <w:p w14:paraId="324D9AF4">
      <w:pPr>
        <w:snapToGrid w:val="0"/>
        <w:spacing w:line="500" w:lineRule="exact"/>
        <w:ind w:firstLine="480" w:firstLineChars="200"/>
        <w:rPr>
          <w:rFonts w:hint="default" w:ascii="Times New Roman" w:hAnsi="Times New Roman" w:eastAsia="方正仿宋_GBK" w:cs="Times New Roman"/>
          <w:color w:val="000000"/>
          <w:sz w:val="24"/>
          <w:szCs w:val="24"/>
        </w:rPr>
        <w:sectPr>
          <w:pgSz w:w="11907" w:h="16840"/>
          <w:pgMar w:top="1134" w:right="1418" w:bottom="1134" w:left="1418" w:header="964" w:footer="992" w:gutter="0"/>
          <w:pgNumType w:fmt="numberInDash"/>
          <w:cols w:space="720" w:num="1"/>
          <w:docGrid w:linePitch="312" w:charSpace="0"/>
        </w:sectPr>
      </w:pPr>
    </w:p>
    <w:p w14:paraId="50AD66C2">
      <w:pPr>
        <w:spacing w:line="500" w:lineRule="exact"/>
        <w:jc w:val="center"/>
        <w:outlineLvl w:val="0"/>
        <w:rPr>
          <w:rFonts w:hint="default" w:ascii="Times New Roman" w:hAnsi="Times New Roman" w:eastAsia="方正仿宋_GBK" w:cs="Times New Roman"/>
          <w:color w:val="000000"/>
          <w:sz w:val="36"/>
          <w:szCs w:val="30"/>
          <w:lang w:val="en-US"/>
        </w:rPr>
      </w:pPr>
      <w:r>
        <w:rPr>
          <w:rFonts w:hint="default" w:ascii="Times New Roman" w:hAnsi="Times New Roman" w:eastAsia="方正仿宋_GBK" w:cs="Times New Roman"/>
          <w:color w:val="000000"/>
          <w:sz w:val="36"/>
          <w:szCs w:val="30"/>
        </w:rPr>
        <w:t>第二篇  项目服务需求</w:t>
      </w:r>
    </w:p>
    <w:p w14:paraId="00633E23">
      <w:pPr>
        <w:spacing w:line="500" w:lineRule="exact"/>
        <w:rPr>
          <w:rFonts w:hint="default" w:ascii="Times New Roman" w:hAnsi="Times New Roman" w:eastAsia="方正仿宋_GBK" w:cs="Times New Roman"/>
          <w:color w:val="000000"/>
          <w:sz w:val="24"/>
          <w:szCs w:val="24"/>
        </w:rPr>
      </w:pPr>
      <w:bookmarkStart w:id="19" w:name="_Toc11833"/>
      <w:bookmarkStart w:id="20" w:name="_Toc12789058"/>
      <w:r>
        <w:rPr>
          <w:rFonts w:hint="default" w:ascii="Times New Roman" w:hAnsi="Times New Roman" w:eastAsia="方正仿宋_GBK" w:cs="Times New Roman"/>
          <w:color w:val="000000"/>
          <w:sz w:val="24"/>
          <w:szCs w:val="24"/>
        </w:rPr>
        <w:t>“※”标注的服务需求为符合性审查中的实质性要求，响应文件若不满足按无效响应处理。</w:t>
      </w:r>
    </w:p>
    <w:bookmarkEnd w:id="19"/>
    <w:p w14:paraId="36211B25">
      <w:pPr>
        <w:numPr>
          <w:ilvl w:val="0"/>
          <w:numId w:val="1"/>
        </w:numPr>
        <w:adjustRightInd w:val="0"/>
        <w:snapToGrid w:val="0"/>
        <w:spacing w:line="500" w:lineRule="exact"/>
        <w:ind w:firstLine="480" w:firstLineChars="200"/>
        <w:rPr>
          <w:rFonts w:hint="default" w:ascii="Times New Roman" w:hAnsi="Times New Roman" w:eastAsia="方正仿宋_GBK" w:cs="Times New Roman"/>
          <w:b w:val="0"/>
          <w:bCs w:val="0"/>
          <w:sz w:val="24"/>
          <w:highlight w:val="none"/>
          <w:lang w:val="en-US" w:eastAsia="zh-CN"/>
        </w:rPr>
      </w:pPr>
      <w:r>
        <w:rPr>
          <w:rFonts w:hint="default" w:ascii="Times New Roman" w:hAnsi="Times New Roman" w:eastAsia="方正仿宋_GBK" w:cs="Times New Roman"/>
          <w:b w:val="0"/>
          <w:bCs w:val="0"/>
          <w:sz w:val="24"/>
          <w:highlight w:val="none"/>
        </w:rPr>
        <w:t>项目</w:t>
      </w:r>
      <w:r>
        <w:rPr>
          <w:rFonts w:hint="default" w:ascii="Times New Roman" w:hAnsi="Times New Roman" w:eastAsia="方正仿宋_GBK" w:cs="Times New Roman"/>
          <w:b w:val="0"/>
          <w:bCs w:val="0"/>
          <w:sz w:val="24"/>
          <w:highlight w:val="none"/>
          <w:lang w:val="en-US" w:eastAsia="zh-CN"/>
        </w:rPr>
        <w:t>概述</w:t>
      </w:r>
    </w:p>
    <w:p w14:paraId="586CA01C">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default" w:ascii="Times New Roman" w:hAnsi="Times New Roman" w:eastAsia="方正仿宋_GBK" w:cs="Times New Roman"/>
          <w:b w:val="0"/>
          <w:bCs w:val="0"/>
          <w:sz w:val="24"/>
          <w:highlight w:val="none"/>
        </w:rPr>
      </w:pPr>
      <w:r>
        <w:rPr>
          <w:rFonts w:hint="default" w:ascii="Times New Roman" w:hAnsi="Times New Roman" w:eastAsia="方正仿宋_GBK" w:cs="Times New Roman"/>
          <w:b w:val="0"/>
          <w:bCs w:val="0"/>
          <w:sz w:val="24"/>
          <w:highlight w:val="none"/>
          <w:lang w:val="en-US" w:eastAsia="zh-CN"/>
        </w:rPr>
        <w:t>意大利米兰两轮车展览会（EICMA）是全球顶尖的两轮车展览会之一，被誉为“两轮上的奥运会”。该展会由意大利两轮车工业协会（ANCMA）主办，并得到了德国摩托车工业协会（IVM）的支持，自1914年首次举办以来，拥有100余年的历史，并成功举办了80届，展品范围涉及摩托车、电动车、自行车行业的全产业链，受到全球摩托车、电动车生产商、经销商及专业人士的瞩目，已成为全球摩托车、电动车和自行车行业的重要盛事，被广泛认为是中国摩托车、电动车及零配件制造企业进军欧洲及全球市场的最佳平台。EICMA</w:t>
      </w:r>
      <w:r>
        <w:rPr>
          <w:rFonts w:hint="eastAsia" w:eastAsia="方正仿宋_GBK" w:cs="Times New Roman"/>
          <w:b w:val="0"/>
          <w:bCs w:val="0"/>
          <w:sz w:val="24"/>
          <w:highlight w:val="none"/>
          <w:lang w:val="en-US" w:eastAsia="zh-CN"/>
        </w:rPr>
        <w:t xml:space="preserve"> </w:t>
      </w:r>
      <w:r>
        <w:rPr>
          <w:rFonts w:hint="default" w:ascii="Times New Roman" w:hAnsi="Times New Roman" w:eastAsia="方正仿宋_GBK" w:cs="Times New Roman"/>
          <w:b w:val="0"/>
          <w:bCs w:val="0"/>
          <w:sz w:val="24"/>
          <w:highlight w:val="none"/>
          <w:lang w:val="en-US" w:eastAsia="zh-CN"/>
        </w:rPr>
        <w:t>202</w:t>
      </w:r>
      <w:r>
        <w:rPr>
          <w:rFonts w:hint="eastAsia" w:eastAsia="方正仿宋_GBK" w:cs="Times New Roman"/>
          <w:b w:val="0"/>
          <w:bCs w:val="0"/>
          <w:sz w:val="24"/>
          <w:highlight w:val="none"/>
          <w:lang w:val="en-US" w:eastAsia="zh-CN"/>
        </w:rPr>
        <w:t>5</w:t>
      </w:r>
      <w:r>
        <w:rPr>
          <w:rFonts w:hint="default" w:ascii="Times New Roman" w:hAnsi="Times New Roman" w:eastAsia="方正仿宋_GBK" w:cs="Times New Roman"/>
          <w:b w:val="0"/>
          <w:bCs w:val="0"/>
          <w:sz w:val="24"/>
          <w:highlight w:val="none"/>
          <w:lang w:val="en-US" w:eastAsia="zh-CN"/>
        </w:rPr>
        <w:t>年将于11月</w:t>
      </w:r>
      <w:r>
        <w:rPr>
          <w:rFonts w:hint="eastAsia" w:eastAsia="方正仿宋_GBK" w:cs="Times New Roman"/>
          <w:b w:val="0"/>
          <w:bCs w:val="0"/>
          <w:sz w:val="24"/>
          <w:highlight w:val="none"/>
          <w:lang w:val="en-US" w:eastAsia="zh-CN"/>
        </w:rPr>
        <w:t>4</w:t>
      </w:r>
      <w:r>
        <w:rPr>
          <w:rFonts w:hint="default" w:ascii="Times New Roman" w:hAnsi="Times New Roman" w:eastAsia="方正仿宋_GBK" w:cs="Times New Roman"/>
          <w:b w:val="0"/>
          <w:bCs w:val="0"/>
          <w:sz w:val="24"/>
          <w:highlight w:val="none"/>
          <w:lang w:val="en-US" w:eastAsia="zh-CN"/>
        </w:rPr>
        <w:t>日—</w:t>
      </w:r>
      <w:r>
        <w:rPr>
          <w:rFonts w:hint="eastAsia" w:eastAsia="方正仿宋_GBK" w:cs="Times New Roman"/>
          <w:b w:val="0"/>
          <w:bCs w:val="0"/>
          <w:sz w:val="24"/>
          <w:highlight w:val="none"/>
          <w:lang w:val="en-US" w:eastAsia="zh-CN"/>
        </w:rPr>
        <w:t>9</w:t>
      </w:r>
      <w:r>
        <w:rPr>
          <w:rFonts w:hint="default" w:ascii="Times New Roman" w:hAnsi="Times New Roman" w:eastAsia="方正仿宋_GBK" w:cs="Times New Roman"/>
          <w:b w:val="0"/>
          <w:bCs w:val="0"/>
          <w:sz w:val="24"/>
          <w:highlight w:val="none"/>
          <w:lang w:val="en-US" w:eastAsia="zh-CN"/>
        </w:rPr>
        <w:t>日在意大利新米兰会展馆举办，重庆市商务委员会拟组织约</w:t>
      </w:r>
      <w:r>
        <w:rPr>
          <w:rFonts w:hint="eastAsia" w:eastAsia="方正仿宋_GBK" w:cs="Times New Roman"/>
          <w:b w:val="0"/>
          <w:bCs w:val="0"/>
          <w:sz w:val="24"/>
          <w:highlight w:val="none"/>
          <w:lang w:val="en-US" w:eastAsia="zh-CN"/>
        </w:rPr>
        <w:t>30</w:t>
      </w:r>
      <w:r>
        <w:rPr>
          <w:rFonts w:hint="default" w:ascii="Times New Roman" w:hAnsi="Times New Roman" w:eastAsia="方正仿宋_GBK" w:cs="Times New Roman"/>
          <w:b w:val="0"/>
          <w:bCs w:val="0"/>
          <w:sz w:val="24"/>
          <w:highlight w:val="none"/>
          <w:lang w:val="en-US" w:eastAsia="zh-CN"/>
        </w:rPr>
        <w:t>家企业参加，同期同馆设置渝贸全球</w:t>
      </w:r>
      <w:r>
        <w:rPr>
          <w:rFonts w:hint="eastAsia" w:eastAsia="方正仿宋_GBK" w:cs="Times New Roman"/>
          <w:b w:val="0"/>
          <w:bCs w:val="0"/>
          <w:sz w:val="24"/>
          <w:highlight w:val="none"/>
          <w:lang w:val="en-US" w:eastAsia="zh-CN"/>
        </w:rPr>
        <w:t>·</w:t>
      </w:r>
      <w:r>
        <w:rPr>
          <w:rFonts w:hint="default" w:ascii="Times New Roman" w:hAnsi="Times New Roman" w:eastAsia="方正仿宋_GBK" w:cs="Times New Roman"/>
          <w:b w:val="0"/>
          <w:bCs w:val="0"/>
          <w:sz w:val="24"/>
          <w:highlight w:val="none"/>
          <w:lang w:val="en-US" w:eastAsia="zh-CN"/>
        </w:rPr>
        <w:t>重庆摩托车及零配件（意大利）展</w:t>
      </w:r>
      <w:r>
        <w:rPr>
          <w:rFonts w:hint="eastAsia" w:eastAsia="方正仿宋_GBK" w:cs="Times New Roman"/>
          <w:b w:val="0"/>
          <w:bCs w:val="0"/>
          <w:sz w:val="24"/>
          <w:highlight w:val="none"/>
          <w:lang w:val="en-US" w:eastAsia="zh-CN"/>
        </w:rPr>
        <w:t>览会专区</w:t>
      </w:r>
      <w:r>
        <w:rPr>
          <w:rFonts w:hint="default" w:ascii="Times New Roman" w:hAnsi="Times New Roman" w:eastAsia="方正仿宋_GBK" w:cs="Times New Roman"/>
          <w:b w:val="0"/>
          <w:bCs w:val="0"/>
          <w:sz w:val="24"/>
          <w:highlight w:val="none"/>
          <w:lang w:val="en-US" w:eastAsia="zh-CN"/>
        </w:rPr>
        <w:t>，集中展示推广重庆市摩托车及相关零配件相关产品企业等；同时拟于11月5日于意大利米兰新国际展览中心举办</w:t>
      </w:r>
      <w:r>
        <w:rPr>
          <w:rFonts w:hint="eastAsia" w:eastAsia="方正仿宋_GBK" w:cs="Times New Roman"/>
          <w:b w:val="0"/>
          <w:bCs w:val="0"/>
          <w:sz w:val="24"/>
          <w:highlight w:val="none"/>
          <w:lang w:val="en-US" w:eastAsia="zh-CN"/>
        </w:rPr>
        <w:t>“渝贸全球”开馆仪式、</w:t>
      </w:r>
      <w:r>
        <w:rPr>
          <w:rFonts w:hint="default" w:ascii="Times New Roman" w:hAnsi="Times New Roman" w:eastAsia="方正仿宋_GBK" w:cs="Times New Roman"/>
          <w:b w:val="0"/>
          <w:bCs w:val="0"/>
          <w:sz w:val="24"/>
          <w:highlight w:val="none"/>
          <w:lang w:val="en-US" w:eastAsia="zh-CN"/>
        </w:rPr>
        <w:t>中国（重庆）</w:t>
      </w:r>
      <w:r>
        <w:rPr>
          <w:rFonts w:hint="eastAsia" w:eastAsia="方正仿宋_GBK" w:cs="Times New Roman"/>
          <w:b w:val="0"/>
          <w:bCs w:val="0"/>
          <w:sz w:val="24"/>
          <w:highlight w:val="none"/>
          <w:lang w:val="en-US" w:eastAsia="zh-CN"/>
        </w:rPr>
        <w:t>—</w:t>
      </w:r>
      <w:r>
        <w:rPr>
          <w:rFonts w:hint="default" w:ascii="Times New Roman" w:hAnsi="Times New Roman" w:eastAsia="方正仿宋_GBK" w:cs="Times New Roman"/>
          <w:b w:val="0"/>
          <w:bCs w:val="0"/>
          <w:sz w:val="24"/>
          <w:highlight w:val="none"/>
          <w:lang w:val="en-US" w:eastAsia="zh-CN"/>
        </w:rPr>
        <w:t>意大利企业</w:t>
      </w:r>
      <w:r>
        <w:rPr>
          <w:rFonts w:hint="eastAsia" w:eastAsia="方正仿宋_GBK" w:cs="Times New Roman"/>
          <w:b w:val="0"/>
          <w:bCs w:val="0"/>
          <w:sz w:val="24"/>
          <w:highlight w:val="none"/>
          <w:lang w:val="en-US" w:eastAsia="zh-CN"/>
        </w:rPr>
        <w:t>简</w:t>
      </w:r>
      <w:r>
        <w:rPr>
          <w:rFonts w:hint="default" w:ascii="Times New Roman" w:hAnsi="Times New Roman" w:eastAsia="方正仿宋_GBK" w:cs="Times New Roman"/>
          <w:b w:val="0"/>
          <w:bCs w:val="0"/>
          <w:sz w:val="24"/>
          <w:highlight w:val="none"/>
          <w:lang w:val="en-US" w:eastAsia="zh-CN"/>
        </w:rPr>
        <w:t>易对接会。公务人员出访期间</w:t>
      </w:r>
      <w:r>
        <w:rPr>
          <w:rFonts w:hint="eastAsia" w:eastAsia="方正仿宋_GBK" w:cs="Times New Roman"/>
          <w:b w:val="0"/>
          <w:bCs w:val="0"/>
          <w:sz w:val="24"/>
          <w:highlight w:val="none"/>
          <w:lang w:val="en-US" w:eastAsia="zh-CN"/>
        </w:rPr>
        <w:t>同时</w:t>
      </w:r>
      <w:r>
        <w:rPr>
          <w:rFonts w:hint="default" w:ascii="Times New Roman" w:hAnsi="Times New Roman" w:eastAsia="方正仿宋_GBK" w:cs="Times New Roman"/>
          <w:b w:val="0"/>
          <w:bCs w:val="0"/>
          <w:sz w:val="24"/>
          <w:highlight w:val="none"/>
          <w:lang w:val="en-US" w:eastAsia="zh-CN"/>
        </w:rPr>
        <w:t>将</w:t>
      </w:r>
      <w:r>
        <w:rPr>
          <w:rFonts w:hint="eastAsia" w:eastAsia="方正仿宋_GBK" w:cs="Times New Roman"/>
          <w:b w:val="0"/>
          <w:bCs w:val="0"/>
          <w:sz w:val="24"/>
          <w:highlight w:val="none"/>
          <w:lang w:val="en-US" w:eastAsia="zh-CN"/>
        </w:rPr>
        <w:t>赴罗马尼亚</w:t>
      </w:r>
      <w:r>
        <w:rPr>
          <w:rFonts w:hint="default" w:ascii="Times New Roman" w:hAnsi="Times New Roman" w:eastAsia="方正仿宋_GBK" w:cs="Times New Roman"/>
          <w:b w:val="0"/>
          <w:bCs w:val="0"/>
          <w:sz w:val="24"/>
          <w:highlight w:val="none"/>
          <w:lang w:val="en-US" w:eastAsia="zh-CN"/>
        </w:rPr>
        <w:t>调研汽车、摩托车及其零配件市场以及开展经贸交流活动。</w:t>
      </w:r>
      <w:bookmarkStart w:id="21" w:name="_Toc1359"/>
    </w:p>
    <w:p w14:paraId="1080032A">
      <w:pPr>
        <w:numPr>
          <w:ilvl w:val="0"/>
          <w:numId w:val="1"/>
        </w:numPr>
        <w:adjustRightInd w:val="0"/>
        <w:snapToGrid w:val="0"/>
        <w:spacing w:line="500" w:lineRule="exact"/>
        <w:ind w:left="0" w:leftChars="0" w:firstLine="480" w:firstLineChars="200"/>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活动时间及地点</w:t>
      </w:r>
    </w:p>
    <w:p w14:paraId="213182E2">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时间：采购人指定时间（</w:t>
      </w:r>
      <w:r>
        <w:rPr>
          <w:rFonts w:hint="eastAsia" w:eastAsia="方正仿宋_GBK" w:cs="Times New Roman"/>
          <w:b w:val="0"/>
          <w:bCs w:val="0"/>
          <w:sz w:val="24"/>
          <w:highlight w:val="none"/>
          <w:lang w:val="en-US" w:eastAsia="zh-CN"/>
        </w:rPr>
        <w:t>公务团拟出访</w:t>
      </w:r>
      <w:r>
        <w:rPr>
          <w:rFonts w:hint="default" w:eastAsia="方正仿宋_GBK" w:cs="Times New Roman"/>
          <w:b w:val="0"/>
          <w:bCs w:val="0"/>
          <w:sz w:val="24"/>
          <w:highlight w:val="none"/>
          <w:lang w:val="en-US" w:eastAsia="zh-CN"/>
        </w:rPr>
        <w:t>时间为202</w:t>
      </w:r>
      <w:r>
        <w:rPr>
          <w:rFonts w:hint="eastAsia" w:eastAsia="方正仿宋_GBK" w:cs="Times New Roman"/>
          <w:b w:val="0"/>
          <w:bCs w:val="0"/>
          <w:sz w:val="24"/>
          <w:highlight w:val="none"/>
          <w:lang w:val="en-US" w:eastAsia="zh-CN"/>
        </w:rPr>
        <w:t>5</w:t>
      </w:r>
      <w:r>
        <w:rPr>
          <w:rFonts w:hint="default" w:eastAsia="方正仿宋_GBK" w:cs="Times New Roman"/>
          <w:b w:val="0"/>
          <w:bCs w:val="0"/>
          <w:sz w:val="24"/>
          <w:highlight w:val="none"/>
          <w:lang w:val="en-US" w:eastAsia="zh-CN"/>
        </w:rPr>
        <w:t>年</w:t>
      </w:r>
      <w:r>
        <w:rPr>
          <w:rFonts w:hint="eastAsia" w:eastAsia="方正仿宋_GBK" w:cs="Times New Roman"/>
          <w:b w:val="0"/>
          <w:bCs w:val="0"/>
          <w:sz w:val="24"/>
          <w:highlight w:val="none"/>
          <w:lang w:val="en-US" w:eastAsia="zh-CN"/>
        </w:rPr>
        <w:t>11</w:t>
      </w:r>
      <w:r>
        <w:rPr>
          <w:rFonts w:hint="default" w:eastAsia="方正仿宋_GBK" w:cs="Times New Roman"/>
          <w:b w:val="0"/>
          <w:bCs w:val="0"/>
          <w:sz w:val="24"/>
          <w:highlight w:val="none"/>
          <w:lang w:val="en-US" w:eastAsia="zh-CN"/>
        </w:rPr>
        <w:t>月</w:t>
      </w:r>
      <w:r>
        <w:rPr>
          <w:rFonts w:hint="eastAsia" w:eastAsia="方正仿宋_GBK" w:cs="Times New Roman"/>
          <w:b w:val="0"/>
          <w:bCs w:val="0"/>
          <w:sz w:val="24"/>
          <w:highlight w:val="none"/>
          <w:lang w:val="en-US" w:eastAsia="zh-CN"/>
        </w:rPr>
        <w:t>3</w:t>
      </w:r>
      <w:r>
        <w:rPr>
          <w:rFonts w:hint="default" w:eastAsia="方正仿宋_GBK" w:cs="Times New Roman"/>
          <w:b w:val="0"/>
          <w:bCs w:val="0"/>
          <w:sz w:val="24"/>
          <w:highlight w:val="none"/>
          <w:lang w:val="en-US" w:eastAsia="zh-CN"/>
        </w:rPr>
        <w:t>日</w:t>
      </w:r>
      <w:r>
        <w:rPr>
          <w:rFonts w:hint="eastAsia" w:eastAsia="方正仿宋_GBK" w:cs="Times New Roman"/>
          <w:b w:val="0"/>
          <w:bCs w:val="0"/>
          <w:sz w:val="24"/>
          <w:highlight w:val="none"/>
          <w:lang w:val="en-US" w:eastAsia="zh-CN"/>
        </w:rPr>
        <w:t>—11</w:t>
      </w:r>
      <w:r>
        <w:rPr>
          <w:rFonts w:hint="default" w:eastAsia="方正仿宋_GBK" w:cs="Times New Roman"/>
          <w:b w:val="0"/>
          <w:bCs w:val="0"/>
          <w:sz w:val="24"/>
          <w:highlight w:val="none"/>
          <w:lang w:val="en-US" w:eastAsia="zh-CN"/>
        </w:rPr>
        <w:t>月</w:t>
      </w:r>
      <w:r>
        <w:rPr>
          <w:rFonts w:hint="eastAsia" w:eastAsia="方正仿宋_GBK" w:cs="Times New Roman"/>
          <w:b w:val="0"/>
          <w:bCs w:val="0"/>
          <w:sz w:val="24"/>
          <w:highlight w:val="none"/>
          <w:lang w:val="en-US" w:eastAsia="zh-CN"/>
        </w:rPr>
        <w:t>9</w:t>
      </w:r>
      <w:r>
        <w:rPr>
          <w:rFonts w:hint="default" w:eastAsia="方正仿宋_GBK" w:cs="Times New Roman"/>
          <w:b w:val="0"/>
          <w:bCs w:val="0"/>
          <w:sz w:val="24"/>
          <w:highlight w:val="none"/>
          <w:lang w:val="en-US" w:eastAsia="zh-CN"/>
        </w:rPr>
        <w:t>日，</w:t>
      </w:r>
      <w:r>
        <w:rPr>
          <w:rFonts w:hint="eastAsia" w:eastAsia="方正仿宋_GBK" w:cs="Times New Roman"/>
          <w:b w:val="0"/>
          <w:bCs w:val="0"/>
          <w:sz w:val="24"/>
          <w:highlight w:val="none"/>
          <w:lang w:val="en-US" w:eastAsia="zh-CN"/>
        </w:rPr>
        <w:t>共7天）</w:t>
      </w:r>
    </w:p>
    <w:p w14:paraId="5BECA471">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default"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地点：采购人指定地点（意大利、罗马尼亚）</w:t>
      </w:r>
    </w:p>
    <w:p w14:paraId="150BE5BE">
      <w:pPr>
        <w:adjustRightInd w:val="0"/>
        <w:snapToGrid w:val="0"/>
        <w:spacing w:line="500" w:lineRule="exact"/>
        <w:ind w:firstLine="480" w:firstLineChars="200"/>
        <w:rPr>
          <w:rFonts w:hint="eastAsia" w:eastAsia="方正仿宋_GBK" w:cs="Times New Roman"/>
          <w:b w:val="0"/>
          <w:bCs w:val="0"/>
          <w:sz w:val="24"/>
          <w:highlight w:val="none"/>
          <w:lang w:val="en-US" w:eastAsia="zh-CN"/>
        </w:rPr>
      </w:pPr>
      <w:r>
        <w:rPr>
          <w:rFonts w:hint="default" w:ascii="Times New Roman" w:hAnsi="Times New Roman" w:eastAsia="方正仿宋_GBK" w:cs="Times New Roman"/>
          <w:b w:val="0"/>
          <w:bCs w:val="0"/>
          <w:sz w:val="24"/>
          <w:highlight w:val="none"/>
        </w:rPr>
        <w:t>※</w:t>
      </w:r>
      <w:r>
        <w:rPr>
          <w:rFonts w:hint="eastAsia" w:eastAsia="方正仿宋_GBK" w:cs="Times New Roman"/>
          <w:b w:val="0"/>
          <w:bCs w:val="0"/>
          <w:sz w:val="24"/>
          <w:highlight w:val="none"/>
          <w:lang w:val="en-US" w:eastAsia="zh-CN"/>
        </w:rPr>
        <w:t>三</w:t>
      </w:r>
      <w:r>
        <w:rPr>
          <w:rFonts w:hint="default" w:ascii="Times New Roman" w:hAnsi="Times New Roman" w:eastAsia="方正仿宋_GBK" w:cs="Times New Roman"/>
          <w:b w:val="0"/>
          <w:bCs w:val="0"/>
          <w:sz w:val="24"/>
          <w:highlight w:val="none"/>
        </w:rPr>
        <w:t>、项目服务内容</w:t>
      </w:r>
      <w:r>
        <w:rPr>
          <w:rFonts w:hint="eastAsia" w:eastAsia="方正仿宋_GBK" w:cs="Times New Roman"/>
          <w:b w:val="0"/>
          <w:bCs w:val="0"/>
          <w:sz w:val="24"/>
          <w:highlight w:val="none"/>
          <w:lang w:val="en-US" w:eastAsia="zh-CN"/>
        </w:rPr>
        <w:t>及要求</w:t>
      </w:r>
    </w:p>
    <w:p w14:paraId="6EB0923A">
      <w:pPr>
        <w:keepNext w:val="0"/>
        <w:keepLines w:val="0"/>
        <w:pageBreakBefore w:val="0"/>
        <w:widowControl w:val="0"/>
        <w:numPr>
          <w:ilvl w:val="0"/>
          <w:numId w:val="2"/>
        </w:numPr>
        <w:kinsoku/>
        <w:wordWrap/>
        <w:overflowPunct/>
        <w:topLinePunct w:val="0"/>
        <w:autoSpaceDE/>
        <w:autoSpaceDN/>
        <w:bidi w:val="0"/>
        <w:adjustRightInd w:val="0"/>
        <w:snapToGrid w:val="0"/>
        <w:spacing w:line="500" w:lineRule="exact"/>
        <w:ind w:firstLine="480" w:firstLineChars="200"/>
        <w:textAlignment w:val="auto"/>
        <w:rPr>
          <w:rFonts w:hint="default"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展区规划及中心形象展区设计</w:t>
      </w:r>
    </w:p>
    <w:p w14:paraId="786E56E3">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default"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要求供应商应根据</w:t>
      </w:r>
      <w:r>
        <w:rPr>
          <w:rFonts w:hint="eastAsia" w:eastAsia="方正仿宋_GBK" w:cs="Times New Roman"/>
          <w:b w:val="0"/>
          <w:bCs w:val="0"/>
          <w:sz w:val="24"/>
          <w:highlight w:val="none"/>
          <w:lang w:val="en-US" w:eastAsia="zh-CN"/>
        </w:rPr>
        <w:t>约30家</w:t>
      </w:r>
      <w:r>
        <w:rPr>
          <w:rFonts w:hint="default" w:eastAsia="方正仿宋_GBK" w:cs="Times New Roman"/>
          <w:b w:val="0"/>
          <w:bCs w:val="0"/>
          <w:sz w:val="24"/>
          <w:highlight w:val="none"/>
          <w:lang w:val="en-US" w:eastAsia="zh-CN"/>
        </w:rPr>
        <w:t>企业的整体规模与相关组委会协调并规划好渝贸全球·重庆摩托车及零配件（意大利）展览会专区，同时设置36平方米中心形象展区，集中展示我市经贸情况、相关产业发展情况。广泛收集优质视频、图片和文字资料，设计好中心形象展区，并提交中心形象展区效果图。</w:t>
      </w:r>
    </w:p>
    <w:p w14:paraId="69BC2655">
      <w:pPr>
        <w:keepNext w:val="0"/>
        <w:keepLines w:val="0"/>
        <w:pageBreakBefore w:val="0"/>
        <w:widowControl w:val="0"/>
        <w:numPr>
          <w:ilvl w:val="0"/>
          <w:numId w:val="2"/>
        </w:numPr>
        <w:kinsoku/>
        <w:wordWrap/>
        <w:overflowPunct/>
        <w:topLinePunct w:val="0"/>
        <w:autoSpaceDE/>
        <w:autoSpaceDN/>
        <w:bidi w:val="0"/>
        <w:adjustRightInd w:val="0"/>
        <w:snapToGrid w:val="0"/>
        <w:spacing w:line="500" w:lineRule="exact"/>
        <w:ind w:firstLine="480" w:firstLineChars="200"/>
        <w:textAlignment w:val="auto"/>
        <w:rPr>
          <w:rFonts w:hint="default"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展馆搭建要求供应商负责与相关组委会签订施工合同并履行相应义务，按相关组委会要求，使用节能环保、绿色安全材料施工制作，严格按照经相关组委会审定的展厅设计方案进行布、撤展。</w:t>
      </w:r>
    </w:p>
    <w:p w14:paraId="030AC2F6">
      <w:pPr>
        <w:keepNext w:val="0"/>
        <w:keepLines w:val="0"/>
        <w:pageBreakBefore w:val="0"/>
        <w:widowControl w:val="0"/>
        <w:numPr>
          <w:ilvl w:val="0"/>
          <w:numId w:val="2"/>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招展、组团要求</w:t>
      </w:r>
    </w:p>
    <w:p w14:paraId="776DF30A">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1.</w:t>
      </w:r>
      <w:r>
        <w:rPr>
          <w:rFonts w:hint="default" w:eastAsia="方正仿宋_GBK" w:cs="Times New Roman"/>
          <w:b w:val="0"/>
          <w:bCs w:val="0"/>
          <w:sz w:val="24"/>
          <w:highlight w:val="none"/>
          <w:lang w:val="en-US" w:eastAsia="zh-CN"/>
        </w:rPr>
        <w:t>供应商须根据展会的主题和当地的采购需求，组织</w:t>
      </w:r>
      <w:r>
        <w:rPr>
          <w:rFonts w:hint="eastAsia" w:eastAsia="方正仿宋_GBK" w:cs="Times New Roman"/>
          <w:b w:val="0"/>
          <w:bCs w:val="0"/>
          <w:sz w:val="24"/>
          <w:highlight w:val="none"/>
          <w:lang w:val="en-US" w:eastAsia="zh-CN"/>
        </w:rPr>
        <w:t>约30</w:t>
      </w:r>
      <w:r>
        <w:rPr>
          <w:rFonts w:hint="default" w:eastAsia="方正仿宋_GBK" w:cs="Times New Roman"/>
          <w:b w:val="0"/>
          <w:bCs w:val="0"/>
          <w:sz w:val="24"/>
          <w:highlight w:val="none"/>
          <w:lang w:val="en-US" w:eastAsia="zh-CN"/>
        </w:rPr>
        <w:t>家相关企业参展，并对参展企业解释传达企业涉及的相关费用将于次年按采购人有关文件要求进行补贴</w:t>
      </w:r>
      <w:r>
        <w:rPr>
          <w:rFonts w:hint="eastAsia" w:eastAsia="方正仿宋_GBK" w:cs="Times New Roman"/>
          <w:b w:val="0"/>
          <w:bCs w:val="0"/>
          <w:sz w:val="24"/>
          <w:highlight w:val="none"/>
          <w:lang w:val="en-US" w:eastAsia="zh-CN"/>
        </w:rPr>
        <w:t>；</w:t>
      </w:r>
    </w:p>
    <w:p w14:paraId="48B2DD2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2.</w:t>
      </w:r>
      <w:r>
        <w:rPr>
          <w:rFonts w:hint="default" w:eastAsia="方正仿宋_GBK" w:cs="Times New Roman"/>
          <w:b w:val="0"/>
          <w:bCs w:val="0"/>
          <w:sz w:val="24"/>
          <w:highlight w:val="none"/>
          <w:lang w:val="en-US" w:eastAsia="zh-CN"/>
        </w:rPr>
        <w:t>供应商须提交一份包含拟参展企业详细信息的名单，供应商应致力于为参展企业提供全方位的服务支持</w:t>
      </w:r>
      <w:r>
        <w:rPr>
          <w:rFonts w:hint="eastAsia" w:eastAsia="方正仿宋_GBK" w:cs="Times New Roman"/>
          <w:b w:val="0"/>
          <w:bCs w:val="0"/>
          <w:sz w:val="24"/>
          <w:highlight w:val="none"/>
          <w:lang w:val="en-US" w:eastAsia="zh-CN"/>
        </w:rPr>
        <w:t>；</w:t>
      </w:r>
    </w:p>
    <w:p w14:paraId="5D152A13">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3.</w:t>
      </w:r>
      <w:r>
        <w:rPr>
          <w:rFonts w:hint="default" w:eastAsia="方正仿宋_GBK" w:cs="Times New Roman"/>
          <w:b w:val="0"/>
          <w:bCs w:val="0"/>
          <w:sz w:val="24"/>
          <w:highlight w:val="none"/>
          <w:lang w:val="en-US" w:eastAsia="zh-CN"/>
        </w:rPr>
        <w:t>参展前夕，供应商组织企业参加展前培训，提升企业参展能力</w:t>
      </w:r>
      <w:r>
        <w:rPr>
          <w:rFonts w:hint="eastAsia" w:eastAsia="方正仿宋_GBK" w:cs="Times New Roman"/>
          <w:b w:val="0"/>
          <w:bCs w:val="0"/>
          <w:sz w:val="24"/>
          <w:highlight w:val="none"/>
          <w:lang w:val="en-US" w:eastAsia="zh-CN"/>
        </w:rPr>
        <w:t>；</w:t>
      </w:r>
    </w:p>
    <w:p w14:paraId="573163FC">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4.</w:t>
      </w:r>
      <w:r>
        <w:rPr>
          <w:rFonts w:hint="default" w:eastAsia="方正仿宋_GBK" w:cs="Times New Roman"/>
          <w:b w:val="0"/>
          <w:bCs w:val="0"/>
          <w:sz w:val="24"/>
          <w:highlight w:val="none"/>
          <w:lang w:val="en-US" w:eastAsia="zh-CN"/>
        </w:rPr>
        <w:t>供应商负责与相关组委会签订参展合同，履行相应义务，加强与相关组委会的沟通、衔接、协调，并为整个团队提供全面的综合协调及后勤服务保障</w:t>
      </w:r>
      <w:r>
        <w:rPr>
          <w:rFonts w:hint="eastAsia" w:eastAsia="方正仿宋_GBK" w:cs="Times New Roman"/>
          <w:b w:val="0"/>
          <w:bCs w:val="0"/>
          <w:sz w:val="24"/>
          <w:highlight w:val="none"/>
          <w:lang w:val="en-US" w:eastAsia="zh-CN"/>
        </w:rPr>
        <w:t>；</w:t>
      </w:r>
    </w:p>
    <w:p w14:paraId="0EFF2F83">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default" w:eastAsia="方正仿宋_GBK" w:cs="Times New Roman"/>
          <w:b w:val="0"/>
          <w:bCs w:val="0"/>
          <w:sz w:val="24"/>
          <w:highlight w:val="none"/>
          <w:lang w:val="en-US" w:eastAsia="zh-CN"/>
        </w:rPr>
        <w:t>5.文明组团、组展，随时注重展现和维护好良好的重庆形象</w:t>
      </w:r>
      <w:r>
        <w:rPr>
          <w:rFonts w:hint="eastAsia" w:eastAsia="方正仿宋_GBK" w:cs="Times New Roman"/>
          <w:b w:val="0"/>
          <w:bCs w:val="0"/>
          <w:sz w:val="24"/>
          <w:highlight w:val="none"/>
          <w:lang w:val="en-US" w:eastAsia="zh-CN"/>
        </w:rPr>
        <w:t>；</w:t>
      </w:r>
    </w:p>
    <w:p w14:paraId="46F0C965">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（四）经贸对接会及采购商要求</w:t>
      </w:r>
    </w:p>
    <w:p w14:paraId="30FBDF76">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供应商须根据组织的重庆参展企业类型，针对性地邀请目的国相关行业采购商，于展馆举办“渝贸全球”开馆仪式、</w:t>
      </w:r>
      <w:r>
        <w:rPr>
          <w:rFonts w:hint="default" w:ascii="Times New Roman" w:hAnsi="Times New Roman" w:eastAsia="方正仿宋_GBK" w:cs="Times New Roman"/>
          <w:b w:val="0"/>
          <w:bCs w:val="0"/>
          <w:sz w:val="24"/>
          <w:highlight w:val="none"/>
          <w:lang w:val="en-US" w:eastAsia="zh-CN"/>
        </w:rPr>
        <w:t>中国（重庆）</w:t>
      </w:r>
      <w:r>
        <w:rPr>
          <w:rFonts w:hint="eastAsia" w:eastAsia="方正仿宋_GBK" w:cs="Times New Roman"/>
          <w:b w:val="0"/>
          <w:bCs w:val="0"/>
          <w:sz w:val="24"/>
          <w:highlight w:val="none"/>
          <w:lang w:val="en-US" w:eastAsia="zh-CN"/>
        </w:rPr>
        <w:t>—</w:t>
      </w:r>
      <w:r>
        <w:rPr>
          <w:rFonts w:hint="default" w:ascii="Times New Roman" w:hAnsi="Times New Roman" w:eastAsia="方正仿宋_GBK" w:cs="Times New Roman"/>
          <w:b w:val="0"/>
          <w:bCs w:val="0"/>
          <w:sz w:val="24"/>
          <w:highlight w:val="none"/>
          <w:lang w:val="en-US" w:eastAsia="zh-CN"/>
        </w:rPr>
        <w:t>意大利企业</w:t>
      </w:r>
      <w:r>
        <w:rPr>
          <w:rFonts w:hint="eastAsia" w:eastAsia="方正仿宋_GBK" w:cs="Times New Roman"/>
          <w:b w:val="0"/>
          <w:bCs w:val="0"/>
          <w:sz w:val="24"/>
          <w:highlight w:val="none"/>
          <w:lang w:val="en-US" w:eastAsia="zh-CN"/>
        </w:rPr>
        <w:t>简</w:t>
      </w:r>
      <w:r>
        <w:rPr>
          <w:rFonts w:hint="default" w:ascii="Times New Roman" w:hAnsi="Times New Roman" w:eastAsia="方正仿宋_GBK" w:cs="Times New Roman"/>
          <w:b w:val="0"/>
          <w:bCs w:val="0"/>
          <w:sz w:val="24"/>
          <w:highlight w:val="none"/>
          <w:lang w:val="en-US" w:eastAsia="zh-CN"/>
        </w:rPr>
        <w:t>易对接会</w:t>
      </w:r>
      <w:r>
        <w:rPr>
          <w:rFonts w:hint="eastAsia" w:eastAsia="方正仿宋_GBK" w:cs="Times New Roman"/>
          <w:b w:val="0"/>
          <w:bCs w:val="0"/>
          <w:sz w:val="24"/>
          <w:highlight w:val="none"/>
          <w:lang w:val="en-US" w:eastAsia="zh-CN"/>
        </w:rPr>
        <w:t>；</w:t>
      </w:r>
    </w:p>
    <w:p w14:paraId="50019506">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（五）负责市商务委4名团组成员（一名厅局级人员、三名厅局级以下人员）在意大利、罗马尼亚住宿、餐食等承办工作（含全程机票、签证、住宿费、伙食费、公杂费、出国人员意外保险费等）；</w:t>
      </w:r>
    </w:p>
    <w:p w14:paraId="6B49B7AB">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default"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（六）公务人员大致行程安排</w:t>
      </w:r>
    </w:p>
    <w:p w14:paraId="78190949">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第一天：重庆—成都—意大利米兰</w:t>
      </w:r>
    </w:p>
    <w:p w14:paraId="2C44559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第二天：米兰—都灵，拜访长安汽车欧洲设计中心以及意大利相关协会，后返回米兰</w:t>
      </w:r>
    </w:p>
    <w:p w14:paraId="2AC921B9">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第三天：</w:t>
      </w:r>
      <w:r>
        <w:rPr>
          <w:rFonts w:hint="default" w:ascii="Times New Roman" w:hAnsi="Times New Roman" w:eastAsia="方正仿宋_GBK" w:cs="Times New Roman"/>
          <w:b w:val="0"/>
          <w:bCs w:val="0"/>
          <w:sz w:val="24"/>
          <w:highlight w:val="none"/>
          <w:lang w:val="en-US" w:eastAsia="zh-CN"/>
        </w:rPr>
        <w:t>举办</w:t>
      </w:r>
      <w:r>
        <w:rPr>
          <w:rFonts w:hint="eastAsia" w:eastAsia="方正仿宋_GBK" w:cs="Times New Roman"/>
          <w:b w:val="0"/>
          <w:bCs w:val="0"/>
          <w:sz w:val="24"/>
          <w:highlight w:val="none"/>
          <w:lang w:val="en-US" w:eastAsia="zh-CN"/>
        </w:rPr>
        <w:t>“渝贸全球”开馆仪式、</w:t>
      </w:r>
      <w:r>
        <w:rPr>
          <w:rFonts w:hint="default" w:ascii="Times New Roman" w:hAnsi="Times New Roman" w:eastAsia="方正仿宋_GBK" w:cs="Times New Roman"/>
          <w:b w:val="0"/>
          <w:bCs w:val="0"/>
          <w:sz w:val="24"/>
          <w:highlight w:val="none"/>
          <w:lang w:val="en-US" w:eastAsia="zh-CN"/>
        </w:rPr>
        <w:t>中国（重庆）</w:t>
      </w:r>
      <w:r>
        <w:rPr>
          <w:rFonts w:hint="eastAsia" w:eastAsia="方正仿宋_GBK" w:cs="Times New Roman"/>
          <w:b w:val="0"/>
          <w:bCs w:val="0"/>
          <w:sz w:val="24"/>
          <w:highlight w:val="none"/>
          <w:lang w:val="en-US" w:eastAsia="zh-CN"/>
        </w:rPr>
        <w:t>—</w:t>
      </w:r>
      <w:r>
        <w:rPr>
          <w:rFonts w:hint="default" w:ascii="Times New Roman" w:hAnsi="Times New Roman" w:eastAsia="方正仿宋_GBK" w:cs="Times New Roman"/>
          <w:b w:val="0"/>
          <w:bCs w:val="0"/>
          <w:sz w:val="24"/>
          <w:highlight w:val="none"/>
          <w:lang w:val="en-US" w:eastAsia="zh-CN"/>
        </w:rPr>
        <w:t>意大利企业</w:t>
      </w:r>
      <w:r>
        <w:rPr>
          <w:rFonts w:hint="eastAsia" w:eastAsia="方正仿宋_GBK" w:cs="Times New Roman"/>
          <w:b w:val="0"/>
          <w:bCs w:val="0"/>
          <w:sz w:val="24"/>
          <w:highlight w:val="none"/>
          <w:lang w:val="en-US" w:eastAsia="zh-CN"/>
        </w:rPr>
        <w:t>简</w:t>
      </w:r>
      <w:r>
        <w:rPr>
          <w:rFonts w:hint="default" w:ascii="Times New Roman" w:hAnsi="Times New Roman" w:eastAsia="方正仿宋_GBK" w:cs="Times New Roman"/>
          <w:b w:val="0"/>
          <w:bCs w:val="0"/>
          <w:sz w:val="24"/>
          <w:highlight w:val="none"/>
          <w:lang w:val="en-US" w:eastAsia="zh-CN"/>
        </w:rPr>
        <w:t>易对接会</w:t>
      </w:r>
    </w:p>
    <w:p w14:paraId="1E11069A">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第四天：米兰—罗马尼亚布加勒斯特，拜访罗马尼亚相关政府部门、商协会</w:t>
      </w:r>
    </w:p>
    <w:p w14:paraId="546EC2F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第五天：拜访罗马尼亚相关政府部门、物流运输企业</w:t>
      </w:r>
    </w:p>
    <w:p w14:paraId="63EDA716">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第六天：拜访罗马尼亚相关海外仓企业</w:t>
      </w:r>
    </w:p>
    <w:p w14:paraId="1D40307B">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第七天：布加勒斯特—重庆</w:t>
      </w:r>
    </w:p>
    <w:p w14:paraId="7584FBBA">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（七）供应商须提交以下方案：</w:t>
      </w:r>
    </w:p>
    <w:p w14:paraId="7A1E6092">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1.完整的“渝贸全球”展区效果图及中心形象展区效果图；</w:t>
      </w:r>
    </w:p>
    <w:p w14:paraId="1DE0D56D">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2.完整的展会总体服务方案（包括但不限于总体策划方案、后勤及现场保障方案、工作推进方式步骤和进度安排等）。</w:t>
      </w:r>
    </w:p>
    <w:p w14:paraId="27C79B6A">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（八）其他要求</w:t>
      </w:r>
    </w:p>
    <w:p w14:paraId="6BF21D3D">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1.人员费用：全程7天，厅局级人员不超过96000元/人（商务舱国际旅费70174元、高铁一等座326元作为暂定价，据实结算），厅局级以下人员不超过46000元/人（经济舱国际旅费20297元、高铁二等座203元作为暂定价，据实结算）；</w:t>
      </w:r>
    </w:p>
    <w:p w14:paraId="39D940B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2.住宿、伙食、公杂等费用标准按照《关于调整因公临时出国住宿费标准及相关事项的通知》（渝财行〔2017〕69号）执行，对住宿费、伙食费、公杂费等报价超过限额标准作废标处理；</w:t>
      </w:r>
    </w:p>
    <w:p w14:paraId="6A49B140">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3.供应商需同时报送《意大利、罗马尼亚出国人员费用报价表》、《公务活动费用报价表》；</w:t>
      </w:r>
    </w:p>
    <w:p w14:paraId="7064EC6F">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4.供应商需在展会结束后15日内将展会执行情况、参展成效、参展总结及经贸对接会情况、签订订单情况等报采购人；</w:t>
      </w:r>
    </w:p>
    <w:p w14:paraId="10695685">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5.与相关组委会对接好现场会务保障工作；</w:t>
      </w:r>
    </w:p>
    <w:p w14:paraId="1E84BEE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eastAsia="方正仿宋_GBK" w:cs="Times New Roman"/>
          <w:b w:val="0"/>
          <w:bCs w:val="0"/>
          <w:sz w:val="24"/>
          <w:highlight w:val="none"/>
          <w:lang w:val="en-US" w:eastAsia="zh-CN"/>
        </w:rPr>
      </w:pPr>
      <w:r>
        <w:rPr>
          <w:rFonts w:hint="eastAsia" w:eastAsia="方正仿宋_GBK" w:cs="Times New Roman"/>
          <w:b w:val="0"/>
          <w:bCs w:val="0"/>
          <w:sz w:val="24"/>
          <w:highlight w:val="none"/>
          <w:lang w:val="en-US" w:eastAsia="zh-CN"/>
        </w:rPr>
        <w:t>6.与相关组委会对接好会场秩序保障工作，包括现场秩序、安保应急工作协调等；</w:t>
      </w:r>
    </w:p>
    <w:p w14:paraId="54B9203F">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仿宋" w:hAnsi="仿宋" w:eastAsia="仿宋" w:cs="仿宋"/>
          <w:sz w:val="24"/>
          <w:szCs w:val="24"/>
          <w:highlight w:val="none"/>
        </w:rPr>
      </w:pPr>
      <w:r>
        <w:rPr>
          <w:rFonts w:hint="eastAsia" w:eastAsia="方正仿宋_GBK" w:cs="Times New Roman"/>
          <w:b w:val="0"/>
          <w:bCs w:val="0"/>
          <w:sz w:val="24"/>
          <w:highlight w:val="none"/>
          <w:lang w:val="en-US" w:eastAsia="zh-CN"/>
        </w:rPr>
        <w:t>7.负责完成采购人交办的其他工作。</w:t>
      </w:r>
    </w:p>
    <w:p w14:paraId="64C4FC3B">
      <w:pPr>
        <w:spacing w:line="400" w:lineRule="exact"/>
        <w:ind w:firstLine="480" w:firstLineChars="200"/>
        <w:outlineLvl w:val="2"/>
        <w:rPr>
          <w:rFonts w:hint="eastAsia" w:ascii="仿宋" w:hAnsi="仿宋" w:eastAsia="仿宋" w:cs="仿宋"/>
          <w:sz w:val="24"/>
          <w:szCs w:val="24"/>
        </w:rPr>
      </w:pPr>
    </w:p>
    <w:p w14:paraId="76668C31">
      <w:pPr>
        <w:spacing w:line="400" w:lineRule="exact"/>
        <w:outlineLvl w:val="2"/>
        <w:rPr>
          <w:rFonts w:hint="eastAsia" w:ascii="仿宋" w:hAnsi="仿宋" w:eastAsia="仿宋" w:cs="仿宋"/>
          <w:sz w:val="24"/>
          <w:szCs w:val="24"/>
        </w:rPr>
      </w:pPr>
    </w:p>
    <w:p w14:paraId="5BE543B7">
      <w:pPr>
        <w:spacing w:line="400" w:lineRule="exact"/>
        <w:outlineLvl w:val="2"/>
        <w:rPr>
          <w:rFonts w:hint="eastAsia" w:ascii="仿宋" w:hAnsi="仿宋" w:eastAsia="仿宋" w:cs="仿宋"/>
          <w:sz w:val="24"/>
          <w:szCs w:val="24"/>
        </w:rPr>
      </w:pPr>
    </w:p>
    <w:p w14:paraId="520E9F9F">
      <w:pPr>
        <w:spacing w:line="400" w:lineRule="exact"/>
        <w:ind w:firstLine="480" w:firstLineChars="200"/>
        <w:outlineLvl w:val="2"/>
        <w:rPr>
          <w:rFonts w:hint="eastAsia" w:ascii="仿宋" w:hAnsi="仿宋" w:eastAsia="仿宋" w:cs="仿宋"/>
          <w:sz w:val="24"/>
          <w:szCs w:val="24"/>
        </w:rPr>
      </w:pPr>
    </w:p>
    <w:p w14:paraId="0C5B3B26">
      <w:pPr>
        <w:spacing w:line="500" w:lineRule="exact"/>
        <w:jc w:val="center"/>
        <w:outlineLvl w:val="0"/>
        <w:rPr>
          <w:rFonts w:hint="default" w:ascii="Times New Roman" w:hAnsi="Times New Roman" w:eastAsia="方正仿宋_GBK" w:cs="Times New Roman"/>
          <w:color w:val="000000"/>
          <w:sz w:val="36"/>
          <w:szCs w:val="30"/>
        </w:rPr>
      </w:pPr>
      <w:bookmarkStart w:id="22" w:name="_Toc23008"/>
    </w:p>
    <w:p w14:paraId="3A235CDD">
      <w:pPr>
        <w:spacing w:line="500" w:lineRule="exact"/>
        <w:jc w:val="center"/>
        <w:outlineLvl w:val="0"/>
        <w:rPr>
          <w:rFonts w:hint="default" w:ascii="Times New Roman" w:hAnsi="Times New Roman" w:eastAsia="方正仿宋_GBK" w:cs="Times New Roman"/>
          <w:color w:val="000000"/>
          <w:sz w:val="36"/>
          <w:szCs w:val="30"/>
        </w:rPr>
      </w:pPr>
    </w:p>
    <w:p w14:paraId="5231F3F5">
      <w:pPr>
        <w:spacing w:line="500" w:lineRule="exact"/>
        <w:jc w:val="center"/>
        <w:outlineLvl w:val="0"/>
        <w:rPr>
          <w:rFonts w:hint="default" w:ascii="Times New Roman" w:hAnsi="Times New Roman" w:eastAsia="方正仿宋_GBK" w:cs="Times New Roman"/>
          <w:color w:val="000000"/>
          <w:sz w:val="36"/>
          <w:szCs w:val="30"/>
        </w:rPr>
      </w:pPr>
    </w:p>
    <w:p w14:paraId="71DEDF43">
      <w:pPr>
        <w:spacing w:line="500" w:lineRule="exact"/>
        <w:jc w:val="center"/>
        <w:outlineLvl w:val="0"/>
        <w:rPr>
          <w:rFonts w:hint="default" w:ascii="Times New Roman" w:hAnsi="Times New Roman" w:eastAsia="方正仿宋_GBK" w:cs="Times New Roman"/>
          <w:color w:val="000000"/>
          <w:sz w:val="36"/>
          <w:szCs w:val="30"/>
        </w:rPr>
      </w:pPr>
    </w:p>
    <w:p w14:paraId="40047758">
      <w:pPr>
        <w:spacing w:line="500" w:lineRule="exact"/>
        <w:jc w:val="center"/>
        <w:outlineLvl w:val="0"/>
        <w:rPr>
          <w:rFonts w:hint="default" w:ascii="Times New Roman" w:hAnsi="Times New Roman" w:eastAsia="方正仿宋_GBK" w:cs="Times New Roman"/>
          <w:color w:val="000000"/>
          <w:sz w:val="36"/>
          <w:szCs w:val="30"/>
        </w:rPr>
      </w:pPr>
    </w:p>
    <w:p w14:paraId="1FB6C0C6">
      <w:pPr>
        <w:spacing w:line="500" w:lineRule="exact"/>
        <w:jc w:val="center"/>
        <w:outlineLvl w:val="0"/>
        <w:rPr>
          <w:rFonts w:hint="default" w:ascii="Times New Roman" w:hAnsi="Times New Roman" w:eastAsia="方正仿宋_GBK" w:cs="Times New Roman"/>
          <w:color w:val="000000"/>
          <w:sz w:val="36"/>
          <w:szCs w:val="30"/>
        </w:rPr>
      </w:pPr>
    </w:p>
    <w:p w14:paraId="68F8EBDC">
      <w:pPr>
        <w:spacing w:line="500" w:lineRule="exact"/>
        <w:jc w:val="center"/>
        <w:outlineLvl w:val="0"/>
        <w:rPr>
          <w:rFonts w:hint="default" w:ascii="Times New Roman" w:hAnsi="Times New Roman" w:eastAsia="方正仿宋_GBK" w:cs="Times New Roman"/>
          <w:color w:val="000000"/>
          <w:sz w:val="36"/>
          <w:szCs w:val="30"/>
        </w:rPr>
      </w:pPr>
    </w:p>
    <w:p w14:paraId="179BE248">
      <w:pPr>
        <w:spacing w:line="500" w:lineRule="exact"/>
        <w:jc w:val="center"/>
        <w:outlineLvl w:val="0"/>
        <w:rPr>
          <w:rFonts w:hint="default" w:ascii="Times New Roman" w:hAnsi="Times New Roman" w:eastAsia="方正仿宋_GBK" w:cs="Times New Roman"/>
          <w:color w:val="000000"/>
          <w:sz w:val="36"/>
          <w:szCs w:val="30"/>
        </w:rPr>
      </w:pPr>
    </w:p>
    <w:p w14:paraId="4E47F9C8">
      <w:pPr>
        <w:spacing w:line="500" w:lineRule="exact"/>
        <w:jc w:val="center"/>
        <w:outlineLvl w:val="0"/>
        <w:rPr>
          <w:rFonts w:hint="default" w:ascii="Times New Roman" w:hAnsi="Times New Roman" w:eastAsia="方正仿宋_GBK" w:cs="Times New Roman"/>
          <w:color w:val="000000"/>
          <w:sz w:val="36"/>
          <w:szCs w:val="30"/>
        </w:rPr>
      </w:pPr>
    </w:p>
    <w:p w14:paraId="22C8A2B6">
      <w:pPr>
        <w:spacing w:line="500" w:lineRule="exact"/>
        <w:jc w:val="center"/>
        <w:outlineLvl w:val="0"/>
        <w:rPr>
          <w:rFonts w:hint="default" w:ascii="Times New Roman" w:hAnsi="Times New Roman" w:eastAsia="方正仿宋_GBK" w:cs="Times New Roman"/>
          <w:color w:val="000000"/>
          <w:sz w:val="36"/>
          <w:szCs w:val="30"/>
        </w:rPr>
      </w:pPr>
    </w:p>
    <w:p w14:paraId="2E815B2D">
      <w:pPr>
        <w:spacing w:line="500" w:lineRule="exact"/>
        <w:jc w:val="center"/>
        <w:outlineLvl w:val="0"/>
        <w:rPr>
          <w:rFonts w:hint="default" w:ascii="Times New Roman" w:hAnsi="Times New Roman" w:eastAsia="方正仿宋_GBK" w:cs="Times New Roman"/>
          <w:color w:val="000000"/>
          <w:sz w:val="36"/>
          <w:szCs w:val="30"/>
        </w:rPr>
      </w:pPr>
    </w:p>
    <w:p w14:paraId="7B2C932A">
      <w:pPr>
        <w:spacing w:line="500" w:lineRule="exact"/>
        <w:jc w:val="center"/>
        <w:outlineLvl w:val="0"/>
        <w:rPr>
          <w:rFonts w:hint="default" w:ascii="Times New Roman" w:hAnsi="Times New Roman" w:eastAsia="方正仿宋_GBK" w:cs="Times New Roman"/>
          <w:color w:val="000000"/>
          <w:sz w:val="36"/>
          <w:szCs w:val="30"/>
        </w:rPr>
      </w:pPr>
    </w:p>
    <w:p w14:paraId="68044625">
      <w:pPr>
        <w:spacing w:line="500" w:lineRule="exact"/>
        <w:jc w:val="center"/>
        <w:outlineLvl w:val="0"/>
        <w:rPr>
          <w:rFonts w:hint="default" w:ascii="Times New Roman" w:hAnsi="Times New Roman" w:eastAsia="方正仿宋_GBK" w:cs="Times New Roman"/>
          <w:color w:val="000000"/>
          <w:sz w:val="36"/>
          <w:szCs w:val="30"/>
        </w:rPr>
      </w:pPr>
    </w:p>
    <w:p w14:paraId="40E8E8C5">
      <w:pPr>
        <w:spacing w:line="500" w:lineRule="exact"/>
        <w:jc w:val="center"/>
        <w:outlineLvl w:val="0"/>
        <w:rPr>
          <w:rFonts w:hint="default" w:ascii="Times New Roman" w:hAnsi="Times New Roman" w:eastAsia="方正仿宋_GBK" w:cs="Times New Roman"/>
          <w:color w:val="000000"/>
          <w:sz w:val="36"/>
          <w:szCs w:val="30"/>
        </w:rPr>
      </w:pPr>
    </w:p>
    <w:p w14:paraId="3A45C27F">
      <w:pPr>
        <w:spacing w:line="500" w:lineRule="exact"/>
        <w:jc w:val="center"/>
        <w:outlineLvl w:val="0"/>
        <w:rPr>
          <w:rFonts w:hint="default" w:ascii="Times New Roman" w:hAnsi="Times New Roman" w:eastAsia="方正仿宋_GBK" w:cs="Times New Roman"/>
          <w:color w:val="000000"/>
          <w:sz w:val="36"/>
          <w:szCs w:val="30"/>
        </w:rPr>
      </w:pPr>
      <w:r>
        <w:rPr>
          <w:rFonts w:hint="default" w:ascii="Times New Roman" w:hAnsi="Times New Roman" w:eastAsia="方正仿宋_GBK" w:cs="Times New Roman"/>
          <w:color w:val="000000"/>
          <w:sz w:val="36"/>
          <w:szCs w:val="30"/>
        </w:rPr>
        <w:t xml:space="preserve">第三篇  </w:t>
      </w:r>
      <w:bookmarkEnd w:id="20"/>
      <w:r>
        <w:rPr>
          <w:rFonts w:hint="default" w:ascii="Times New Roman" w:hAnsi="Times New Roman" w:eastAsia="方正仿宋_GBK" w:cs="Times New Roman"/>
          <w:color w:val="000000"/>
          <w:sz w:val="36"/>
          <w:szCs w:val="30"/>
        </w:rPr>
        <w:t>项目商务需求</w:t>
      </w:r>
      <w:bookmarkEnd w:id="21"/>
      <w:bookmarkEnd w:id="22"/>
    </w:p>
    <w:p w14:paraId="42905EFC">
      <w:pPr>
        <w:spacing w:line="500" w:lineRule="exact"/>
        <w:rPr>
          <w:rFonts w:hint="default" w:ascii="Times New Roman" w:hAnsi="Times New Roman" w:eastAsia="方正仿宋_GBK" w:cs="Times New Roman"/>
          <w:color w:val="000000"/>
        </w:rPr>
      </w:pPr>
      <w:bookmarkStart w:id="23" w:name="_Toc344475120"/>
      <w:bookmarkStart w:id="24" w:name="_Toc15063"/>
      <w:r>
        <w:rPr>
          <w:rFonts w:hint="default" w:ascii="Times New Roman" w:hAnsi="Times New Roman" w:eastAsia="方正仿宋_GBK" w:cs="Times New Roman"/>
          <w:color w:val="000000"/>
          <w:sz w:val="24"/>
          <w:szCs w:val="24"/>
        </w:rPr>
        <w:t>“※”标注的商务需求为符合性审查中的实质性要求，响应文件若不满足按无效响应处理。</w:t>
      </w:r>
    </w:p>
    <w:p w14:paraId="445B29A1">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rPr>
        <w:t>一、服务期、地点</w:t>
      </w:r>
      <w:bookmarkEnd w:id="23"/>
      <w:r>
        <w:rPr>
          <w:rFonts w:hint="default" w:ascii="Times New Roman" w:hAnsi="Times New Roman" w:eastAsia="方正仿宋_GBK" w:cs="Times New Roman"/>
          <w:color w:val="000000"/>
          <w:sz w:val="24"/>
        </w:rPr>
        <w:t>及验收方式</w:t>
      </w:r>
      <w:bookmarkEnd w:id="24"/>
    </w:p>
    <w:p w14:paraId="5F05410F">
      <w:pPr>
        <w:spacing w:line="500" w:lineRule="exact"/>
        <w:ind w:firstLine="420" w:firstLineChars="175"/>
        <w:rPr>
          <w:rFonts w:hint="default" w:eastAsia="方正仿宋_GBK" w:cs="Times New Roman"/>
          <w:color w:val="000000"/>
          <w:sz w:val="24"/>
          <w:szCs w:val="24"/>
          <w:highlight w:val="none"/>
          <w:lang w:val="en-US" w:eastAsia="zh-CN"/>
        </w:rPr>
      </w:pPr>
      <w:bookmarkStart w:id="25" w:name="_Toc344475121"/>
      <w:bookmarkStart w:id="26" w:name="_Toc11627"/>
      <w:r>
        <w:rPr>
          <w:rFonts w:hint="default" w:ascii="Times New Roman" w:hAnsi="Times New Roman" w:eastAsia="方正仿宋_GBK" w:cs="Times New Roman"/>
          <w:color w:val="000000"/>
          <w:sz w:val="24"/>
          <w:szCs w:val="24"/>
          <w:highlight w:val="none"/>
        </w:rPr>
        <w:t>（一）服务时间：合同签订之日起至所有活动结束</w:t>
      </w:r>
      <w:r>
        <w:rPr>
          <w:rFonts w:hint="eastAsia" w:ascii="Times New Roman" w:hAnsi="Times New Roman" w:eastAsia="方正仿宋_GBK" w:cs="Times New Roman"/>
          <w:color w:val="000000"/>
          <w:sz w:val="24"/>
          <w:szCs w:val="24"/>
          <w:highlight w:val="none"/>
          <w:lang w:eastAsia="zh-CN"/>
        </w:rPr>
        <w:t>，</w:t>
      </w:r>
      <w:r>
        <w:rPr>
          <w:rFonts w:hint="eastAsia" w:ascii="Times New Roman" w:hAnsi="Times New Roman" w:eastAsia="方正仿宋_GBK" w:cs="Times New Roman"/>
          <w:color w:val="000000"/>
          <w:sz w:val="24"/>
          <w:szCs w:val="24"/>
          <w:highlight w:val="none"/>
          <w:lang w:val="en-US" w:eastAsia="zh-CN"/>
        </w:rPr>
        <w:t>活动时间</w:t>
      </w:r>
      <w:r>
        <w:rPr>
          <w:rFonts w:hint="eastAsia" w:ascii="Times New Roman" w:hAnsi="Times New Roman" w:eastAsia="方正仿宋_GBK" w:cs="Times New Roman"/>
          <w:color w:val="000000"/>
          <w:sz w:val="24"/>
          <w:szCs w:val="24"/>
          <w:highlight w:val="none"/>
          <w:lang w:val="zh-TW" w:eastAsia="zh-CN"/>
        </w:rPr>
        <w:t>202</w:t>
      </w:r>
      <w:r>
        <w:rPr>
          <w:rFonts w:hint="eastAsia" w:ascii="Times New Roman" w:hAnsi="Times New Roman" w:eastAsia="方正仿宋_GBK" w:cs="Times New Roman"/>
          <w:color w:val="000000"/>
          <w:sz w:val="24"/>
          <w:szCs w:val="24"/>
          <w:highlight w:val="none"/>
          <w:lang w:val="en-US" w:eastAsia="zh-CN"/>
        </w:rPr>
        <w:t>5</w:t>
      </w:r>
      <w:r>
        <w:rPr>
          <w:rFonts w:hint="eastAsia" w:ascii="Times New Roman" w:hAnsi="Times New Roman" w:eastAsia="方正仿宋_GBK" w:cs="Times New Roman"/>
          <w:color w:val="000000"/>
          <w:sz w:val="24"/>
          <w:szCs w:val="24"/>
          <w:highlight w:val="none"/>
          <w:lang w:val="zh-TW" w:eastAsia="zh-CN"/>
        </w:rPr>
        <w:t>年</w:t>
      </w:r>
      <w:r>
        <w:rPr>
          <w:rFonts w:hint="eastAsia" w:eastAsia="方正仿宋_GBK" w:cs="Times New Roman"/>
          <w:color w:val="000000"/>
          <w:sz w:val="24"/>
          <w:szCs w:val="24"/>
          <w:highlight w:val="none"/>
          <w:lang w:val="en-US" w:eastAsia="zh-CN"/>
        </w:rPr>
        <w:t>11</w:t>
      </w:r>
      <w:r>
        <w:rPr>
          <w:rFonts w:hint="eastAsia" w:ascii="Times New Roman" w:hAnsi="Times New Roman" w:eastAsia="方正仿宋_GBK" w:cs="Times New Roman"/>
          <w:color w:val="000000"/>
          <w:sz w:val="24"/>
          <w:szCs w:val="24"/>
          <w:highlight w:val="none"/>
          <w:lang w:val="zh-TW" w:eastAsia="zh-CN"/>
        </w:rPr>
        <w:t>月</w:t>
      </w:r>
      <w:r>
        <w:rPr>
          <w:rFonts w:hint="eastAsia" w:eastAsia="方正仿宋_GBK" w:cs="Times New Roman"/>
          <w:color w:val="000000"/>
          <w:sz w:val="24"/>
          <w:szCs w:val="24"/>
          <w:highlight w:val="none"/>
          <w:lang w:val="en-US" w:eastAsia="zh-CN"/>
        </w:rPr>
        <w:t>上旬</w:t>
      </w:r>
      <w:r>
        <w:rPr>
          <w:rFonts w:hint="eastAsia" w:ascii="Times New Roman" w:hAnsi="Times New Roman" w:eastAsia="方正仿宋_GBK" w:cs="Times New Roman"/>
          <w:color w:val="000000"/>
          <w:sz w:val="24"/>
          <w:szCs w:val="24"/>
          <w:highlight w:val="none"/>
          <w:lang w:val="zh-TW" w:eastAsia="zh-CN"/>
        </w:rPr>
        <w:t>，</w:t>
      </w:r>
      <w:r>
        <w:rPr>
          <w:rFonts w:hint="default" w:ascii="Times New Roman" w:hAnsi="Times New Roman" w:eastAsia="方正仿宋_GBK" w:cs="Times New Roman"/>
          <w:color w:val="000000"/>
          <w:sz w:val="24"/>
          <w:szCs w:val="24"/>
          <w:highlight w:val="none"/>
        </w:rPr>
        <w:t>以采购人实际通知为准。</w:t>
      </w:r>
    </w:p>
    <w:p w14:paraId="1487D2D5">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（二）服务地点：</w:t>
      </w:r>
      <w:r>
        <w:rPr>
          <w:rFonts w:hint="eastAsia" w:eastAsia="方正仿宋_GBK" w:cs="Times New Roman"/>
          <w:color w:val="000000"/>
          <w:sz w:val="24"/>
          <w:szCs w:val="24"/>
          <w:highlight w:val="none"/>
          <w:lang w:val="en-US" w:eastAsia="zh-CN"/>
        </w:rPr>
        <w:t>意大利、罗马尼亚（采购人指定地点）</w:t>
      </w:r>
      <w:r>
        <w:rPr>
          <w:rFonts w:hint="default" w:ascii="Times New Roman" w:hAnsi="Times New Roman" w:eastAsia="方正仿宋_GBK" w:cs="Times New Roman"/>
          <w:color w:val="000000"/>
          <w:sz w:val="24"/>
          <w:szCs w:val="24"/>
          <w:highlight w:val="none"/>
        </w:rPr>
        <w:t>。</w:t>
      </w:r>
    </w:p>
    <w:p w14:paraId="446D16A6">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（三）验收方式</w:t>
      </w:r>
    </w:p>
    <w:p w14:paraId="70C5AD0B">
      <w:pPr>
        <w:snapToGrid w:val="0"/>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1.验收单位：重庆市商务委员会。</w:t>
      </w:r>
    </w:p>
    <w:p w14:paraId="2311499D">
      <w:pPr>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2.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0FF383C7">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二、</w:t>
      </w:r>
      <w:bookmarkEnd w:id="25"/>
      <w:r>
        <w:rPr>
          <w:rFonts w:hint="default" w:ascii="Times New Roman" w:hAnsi="Times New Roman" w:eastAsia="方正仿宋_GBK" w:cs="Times New Roman"/>
          <w:color w:val="000000"/>
          <w:sz w:val="24"/>
          <w:highlight w:val="none"/>
        </w:rPr>
        <w:t>报价要求</w:t>
      </w:r>
      <w:bookmarkEnd w:id="26"/>
    </w:p>
    <w:p w14:paraId="74D7BC95">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bookmarkStart w:id="27" w:name="_Toc18842"/>
      <w:bookmarkStart w:id="28" w:name="_Toc344475122"/>
      <w:r>
        <w:rPr>
          <w:rFonts w:hint="default" w:ascii="Times New Roman" w:hAnsi="Times New Roman" w:eastAsia="方正仿宋_GBK" w:cs="Times New Roman"/>
          <w:color w:val="000000"/>
          <w:sz w:val="24"/>
          <w:highlight w:val="none"/>
        </w:rPr>
        <w:t>（一）响应报价应包括完成项目的全部费用，包括但不限于活动总体流程策划、</w:t>
      </w:r>
      <w:r>
        <w:rPr>
          <w:rFonts w:hint="eastAsia" w:eastAsia="方正仿宋_GBK" w:cs="Times New Roman"/>
          <w:color w:val="000000"/>
          <w:sz w:val="24"/>
          <w:highlight w:val="none"/>
          <w:lang w:eastAsia="zh-CN"/>
        </w:rPr>
        <w:t>场地费、</w:t>
      </w:r>
      <w:r>
        <w:rPr>
          <w:rFonts w:hint="eastAsia" w:ascii="Times New Roman" w:hAnsi="Times New Roman" w:eastAsia="方正仿宋_GBK" w:cs="Times New Roman"/>
          <w:color w:val="000000"/>
          <w:sz w:val="24"/>
          <w:highlight w:val="none"/>
        </w:rPr>
        <w:t>展陈</w:t>
      </w:r>
      <w:r>
        <w:rPr>
          <w:rFonts w:hint="default" w:ascii="Times New Roman" w:hAnsi="Times New Roman" w:eastAsia="方正仿宋_GBK" w:cs="Times New Roman"/>
          <w:color w:val="000000"/>
          <w:sz w:val="24"/>
          <w:highlight w:val="none"/>
        </w:rPr>
        <w:t>设计、仓储、现场搭建布置、</w:t>
      </w:r>
      <w:r>
        <w:rPr>
          <w:rFonts w:hint="eastAsia" w:ascii="Times New Roman" w:hAnsi="Times New Roman" w:eastAsia="方正仿宋_GBK" w:cs="Times New Roman"/>
          <w:color w:val="000000"/>
          <w:sz w:val="24"/>
          <w:highlight w:val="none"/>
        </w:rPr>
        <w:t>印刷费、宣传费、现场服务费、</w:t>
      </w:r>
      <w:r>
        <w:rPr>
          <w:rFonts w:hint="default" w:ascii="Times New Roman" w:hAnsi="Times New Roman" w:eastAsia="方正仿宋_GBK" w:cs="Times New Roman"/>
          <w:color w:val="000000"/>
          <w:sz w:val="24"/>
          <w:highlight w:val="none"/>
        </w:rPr>
        <w:t>保险、税费等一切费用。采购人除此以外不支付其它费用。因成交供应商自身原因造成漏报、少报皆由其自行承担责任，采购人不再补偿。</w:t>
      </w:r>
    </w:p>
    <w:p w14:paraId="2A6D4A52">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二</w:t>
      </w:r>
      <w:r>
        <w:rPr>
          <w:rFonts w:hint="default" w:ascii="Times New Roman" w:hAnsi="Times New Roman" w:eastAsia="方正仿宋_GBK" w:cs="Times New Roman"/>
          <w:color w:val="000000"/>
          <w:sz w:val="24"/>
          <w:highlight w:val="none"/>
        </w:rPr>
        <w:t>）供应商须综合考虑本项目相关活动流程所产生所有费用，应充分衡量和估计本项目履行中可能发生的其他潜在导致价格变动风险因素。报价接受后视为就本项目所有所需服务及所需相应设施、设备、材料、人员、耗材等已经包含在该价格中，且不做任何调整。</w:t>
      </w:r>
    </w:p>
    <w:p w14:paraId="2B61653D">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三</w:t>
      </w:r>
      <w:r>
        <w:rPr>
          <w:rFonts w:hint="default" w:ascii="Times New Roman" w:hAnsi="Times New Roman" w:eastAsia="方正仿宋_GBK" w:cs="Times New Roman"/>
          <w:color w:val="000000"/>
          <w:sz w:val="24"/>
          <w:highlight w:val="none"/>
        </w:rPr>
        <w:t>）合同范围内服务要求中所产生的一切费用均由成交供应商支付，活动期间如因对项目理解及活动规模不充足导致活动延期或出现服务停滞情况所产生的一切损失均由成交供应商负责。</w:t>
      </w:r>
    </w:p>
    <w:p w14:paraId="1A785CE8">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三、付款方式</w:t>
      </w:r>
      <w:bookmarkEnd w:id="27"/>
      <w:bookmarkEnd w:id="28"/>
    </w:p>
    <w:p w14:paraId="72776E81">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ascii="Times New Roman" w:hAnsi="Times New Roman" w:eastAsia="方正仿宋_GBK" w:cs="Times New Roman"/>
          <w:color w:val="000000"/>
          <w:kern w:val="2"/>
          <w:sz w:val="24"/>
          <w:szCs w:val="24"/>
          <w:highlight w:val="yellow"/>
          <w:lang w:val="en-US" w:eastAsia="zh-CN" w:bidi="ar-SA"/>
        </w:rPr>
      </w:pPr>
      <w:bookmarkStart w:id="29" w:name="_Toc267320054"/>
      <w:bookmarkStart w:id="30" w:name="_Toc93590849"/>
      <w:r>
        <w:rPr>
          <w:rFonts w:hint="default" w:ascii="Times New Roman" w:hAnsi="Times New Roman" w:eastAsia="方正仿宋_GBK" w:cs="Times New Roman"/>
          <w:color w:val="000000"/>
          <w:kern w:val="2"/>
          <w:sz w:val="24"/>
          <w:szCs w:val="24"/>
          <w:highlight w:val="none"/>
          <w:lang w:val="en-US" w:eastAsia="zh-CN" w:bidi="ar-SA"/>
        </w:rPr>
        <w:t>成交供应商按采购合同完成全部工作内容，经验收合格后由成交供应商提供足额发票，一次性支付合同金额。</w:t>
      </w:r>
    </w:p>
    <w:p w14:paraId="1DB3754B">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四、</w:t>
      </w:r>
      <w:bookmarkEnd w:id="29"/>
      <w:r>
        <w:rPr>
          <w:rFonts w:hint="default" w:ascii="Times New Roman" w:hAnsi="Times New Roman" w:eastAsia="方正仿宋_GBK" w:cs="Times New Roman"/>
          <w:color w:val="000000"/>
          <w:sz w:val="24"/>
          <w:highlight w:val="none"/>
        </w:rPr>
        <w:t>知识产权</w:t>
      </w:r>
      <w:bookmarkEnd w:id="30"/>
    </w:p>
    <w:p w14:paraId="436F4F1E">
      <w:pPr>
        <w:pStyle w:val="36"/>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14:paraId="24F9ECD6">
      <w:pPr>
        <w:adjustRightInd w:val="0"/>
        <w:snapToGrid w:val="0"/>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bookmarkStart w:id="31" w:name="_Toc18754"/>
      <w:r>
        <w:rPr>
          <w:rFonts w:hint="default" w:ascii="Times New Roman" w:hAnsi="Times New Roman" w:eastAsia="方正仿宋_GBK" w:cs="Times New Roman"/>
          <w:color w:val="000000"/>
          <w:sz w:val="24"/>
          <w:szCs w:val="24"/>
          <w:highlight w:val="none"/>
        </w:rPr>
        <w:t>※</w:t>
      </w:r>
      <w:r>
        <w:rPr>
          <w:rFonts w:hint="eastAsia" w:ascii="Times New Roman" w:hAnsi="Times New Roman" w:eastAsia="方正仿宋_GBK" w:cs="Times New Roman"/>
          <w:color w:val="000000"/>
          <w:sz w:val="24"/>
          <w:szCs w:val="24"/>
          <w:highlight w:val="none"/>
          <w:lang w:val="en-US" w:eastAsia="zh-CN"/>
        </w:rPr>
        <w:t>五、保密要求</w:t>
      </w:r>
      <w:bookmarkEnd w:id="31"/>
    </w:p>
    <w:p w14:paraId="7DEFDE17">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Times New Roman" w:hAnsi="Times New Roman" w:eastAsia="方正仿宋_GBK" w:cs="Times New Roman"/>
          <w:color w:val="000000"/>
          <w:kern w:val="2"/>
          <w:sz w:val="24"/>
          <w:szCs w:val="24"/>
          <w:highlight w:val="none"/>
          <w:lang w:val="en-US" w:eastAsia="zh-CN" w:bidi="ar-SA"/>
        </w:rPr>
      </w:pPr>
      <w:r>
        <w:rPr>
          <w:rFonts w:hint="eastAsia" w:ascii="Times New Roman" w:hAnsi="Times New Roman" w:eastAsia="方正仿宋_GBK" w:cs="Times New Roman"/>
          <w:color w:val="000000"/>
          <w:kern w:val="2"/>
          <w:sz w:val="24"/>
          <w:szCs w:val="24"/>
          <w:highlight w:val="none"/>
          <w:lang w:val="en-US" w:eastAsia="zh-CN" w:bidi="ar-SA"/>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14:paraId="12E78AAE">
      <w:pPr>
        <w:pStyle w:val="36"/>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六</w:t>
      </w:r>
      <w:r>
        <w:rPr>
          <w:rFonts w:hint="default" w:ascii="Times New Roman" w:hAnsi="Times New Roman" w:eastAsia="方正仿宋_GBK" w:cs="Times New Roman"/>
          <w:color w:val="000000"/>
          <w:sz w:val="24"/>
          <w:szCs w:val="24"/>
          <w:lang w:val="en-US" w:eastAsia="zh-CN"/>
        </w:rPr>
        <w:t>、其他</w:t>
      </w:r>
    </w:p>
    <w:p w14:paraId="16CD5D6B">
      <w:pPr>
        <w:pStyle w:val="36"/>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因相关政策调整等不可抗力原因致使采购项目取消的，或因上述原因致使合同无法订立或订立后因无法履行而解除的，采购人不承担任何责任，包供应商已产生的所有费用等。</w:t>
      </w:r>
    </w:p>
    <w:p w14:paraId="62D62BD3">
      <w:pPr>
        <w:spacing w:line="500" w:lineRule="exact"/>
        <w:jc w:val="center"/>
        <w:outlineLvl w:val="0"/>
        <w:rPr>
          <w:rFonts w:hint="default" w:ascii="Times New Roman" w:hAnsi="Times New Roman" w:eastAsia="方正仿宋_GBK" w:cs="Times New Roman"/>
          <w:color w:val="000000"/>
          <w:sz w:val="36"/>
          <w:szCs w:val="30"/>
        </w:rPr>
      </w:pPr>
      <w:bookmarkStart w:id="32" w:name="_Toc16364"/>
      <w:r>
        <w:rPr>
          <w:rFonts w:hint="default" w:ascii="Times New Roman" w:hAnsi="Times New Roman" w:eastAsia="方正仿宋_GBK" w:cs="Times New Roman"/>
          <w:color w:val="000000"/>
          <w:sz w:val="36"/>
          <w:szCs w:val="30"/>
        </w:rPr>
        <w:br w:type="page"/>
      </w:r>
      <w:bookmarkStart w:id="33" w:name="_Toc119"/>
      <w:r>
        <w:rPr>
          <w:rFonts w:hint="default" w:ascii="Times New Roman" w:hAnsi="Times New Roman" w:eastAsia="方正仿宋_GBK" w:cs="Times New Roman"/>
          <w:color w:val="000000"/>
          <w:sz w:val="36"/>
          <w:szCs w:val="30"/>
        </w:rPr>
        <w:t xml:space="preserve">第四篇  </w:t>
      </w:r>
      <w:bookmarkEnd w:id="32"/>
      <w:r>
        <w:rPr>
          <w:rFonts w:hint="default" w:ascii="Times New Roman" w:hAnsi="Times New Roman" w:eastAsia="方正仿宋_GBK" w:cs="Times New Roman"/>
          <w:color w:val="000000"/>
          <w:sz w:val="36"/>
          <w:szCs w:val="30"/>
        </w:rPr>
        <w:t>资格审查及评审办法</w:t>
      </w:r>
      <w:bookmarkEnd w:id="33"/>
    </w:p>
    <w:p w14:paraId="182AFF4A">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4" w:name="_Toc22784"/>
      <w:r>
        <w:rPr>
          <w:rFonts w:hint="default" w:ascii="Times New Roman" w:hAnsi="Times New Roman" w:eastAsia="方正仿宋_GBK" w:cs="Times New Roman"/>
          <w:color w:val="000000"/>
          <w:sz w:val="24"/>
        </w:rPr>
        <w:t>一、</w:t>
      </w:r>
      <w:bookmarkEnd w:id="34"/>
      <w:r>
        <w:rPr>
          <w:rFonts w:hint="default" w:ascii="Times New Roman" w:hAnsi="Times New Roman" w:eastAsia="方正仿宋_GBK" w:cs="Times New Roman"/>
          <w:color w:val="000000"/>
          <w:sz w:val="24"/>
        </w:rPr>
        <w:t>资格审查</w:t>
      </w:r>
    </w:p>
    <w:p w14:paraId="532CB1D7">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（一）由采购人依法组建的竞争性比选小组（以下简称比选小组）对各供应商进行评审。</w:t>
      </w:r>
    </w:p>
    <w:p w14:paraId="772BC75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（二）比选小组对各供应商的资格条件、响应文件的有效性、完整性和响应程度进行审查。未通过资格性审查及符合性审查的响应文件，不进入评审环节。</w:t>
      </w:r>
    </w:p>
    <w:p w14:paraId="64F3C6D3">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kern w:val="0"/>
          <w:sz w:val="24"/>
          <w:szCs w:val="24"/>
        </w:rPr>
        <w:t>资格性审查。依据法律法规和竞争性比选文件的规定，对响应文件中的资格证明、等进行审查，以确定供应商是否具备比选资格。资格性审查资料表如下：</w:t>
      </w:r>
    </w:p>
    <w:tbl>
      <w:tblPr>
        <w:tblStyle w:val="5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14:paraId="4770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14:paraId="3178ECF7">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827" w:type="dxa"/>
            <w:tcBorders>
              <w:top w:val="single" w:color="auto" w:sz="4" w:space="0"/>
              <w:left w:val="single" w:color="auto" w:sz="4" w:space="0"/>
              <w:bottom w:val="single" w:color="auto" w:sz="4" w:space="0"/>
              <w:right w:val="single" w:color="auto" w:sz="4" w:space="0"/>
            </w:tcBorders>
            <w:vAlign w:val="center"/>
          </w:tcPr>
          <w:p w14:paraId="0E3C72CC">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检查因素</w:t>
            </w:r>
          </w:p>
        </w:tc>
        <w:tc>
          <w:tcPr>
            <w:tcW w:w="4984" w:type="dxa"/>
            <w:tcBorders>
              <w:top w:val="single" w:color="auto" w:sz="4" w:space="0"/>
              <w:left w:val="single" w:color="auto" w:sz="4" w:space="0"/>
              <w:bottom w:val="single" w:color="auto" w:sz="4" w:space="0"/>
              <w:right w:val="single" w:color="auto" w:sz="4" w:space="0"/>
            </w:tcBorders>
            <w:vAlign w:val="center"/>
          </w:tcPr>
          <w:p w14:paraId="1E5F1C8F">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检查内容</w:t>
            </w:r>
          </w:p>
        </w:tc>
      </w:tr>
      <w:tr w14:paraId="2E560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39EAE1E5">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（一）</w:t>
            </w:r>
          </w:p>
        </w:tc>
        <w:tc>
          <w:tcPr>
            <w:tcW w:w="3827" w:type="dxa"/>
            <w:vAlign w:val="center"/>
          </w:tcPr>
          <w:p w14:paraId="356A70DC">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1.具有独立承担民事责任的能力</w:t>
            </w:r>
          </w:p>
        </w:tc>
        <w:tc>
          <w:tcPr>
            <w:tcW w:w="4984" w:type="dxa"/>
            <w:vAlign w:val="center"/>
          </w:tcPr>
          <w:p w14:paraId="5B5CD4F2">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1.供应商法人营业执照（副本）或事业单位法人证书（副本）或个体工商户营业执照或有效的自然人身份证明或社会团体法人登记证书（提供复印件）。 </w:t>
            </w:r>
          </w:p>
          <w:p w14:paraId="2528389F">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2.供应商法定代表人身份证明和法定代表人授权代表委托书。</w:t>
            </w:r>
          </w:p>
        </w:tc>
      </w:tr>
      <w:tr w14:paraId="37FEF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5F255D14">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0B7483C6">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lang w:val="zh-CN"/>
              </w:rPr>
              <w:t>2.</w:t>
            </w:r>
            <w:r>
              <w:rPr>
                <w:rFonts w:hint="default" w:ascii="Times New Roman" w:hAnsi="Times New Roman" w:eastAsia="方正仿宋_GBK" w:cs="Times New Roman"/>
                <w:color w:val="000000"/>
                <w:sz w:val="21"/>
                <w:szCs w:val="21"/>
              </w:rPr>
              <w:t>具有良好的商业信誉和健全的财务会计制度</w:t>
            </w:r>
          </w:p>
        </w:tc>
        <w:tc>
          <w:tcPr>
            <w:tcW w:w="4984" w:type="dxa"/>
            <w:vMerge w:val="restart"/>
            <w:vAlign w:val="center"/>
          </w:tcPr>
          <w:p w14:paraId="2AEBE0F8">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供应商提供“基本资格条件承诺函”（格式详见第六篇）</w:t>
            </w:r>
          </w:p>
        </w:tc>
      </w:tr>
      <w:tr w14:paraId="62D31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4B6A7C1">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3DFF629D">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3.具有履行合同所必需的设备和专业技术能力</w:t>
            </w:r>
          </w:p>
        </w:tc>
        <w:tc>
          <w:tcPr>
            <w:tcW w:w="4984" w:type="dxa"/>
            <w:vMerge w:val="continue"/>
            <w:vAlign w:val="center"/>
          </w:tcPr>
          <w:p w14:paraId="56AD9D51">
            <w:pPr>
              <w:spacing w:line="500" w:lineRule="exact"/>
              <w:rPr>
                <w:rFonts w:hint="default" w:ascii="Times New Roman" w:hAnsi="Times New Roman" w:eastAsia="方正仿宋_GBK" w:cs="Times New Roman"/>
                <w:color w:val="000000"/>
                <w:sz w:val="21"/>
                <w:szCs w:val="21"/>
              </w:rPr>
            </w:pPr>
          </w:p>
        </w:tc>
      </w:tr>
      <w:tr w14:paraId="3392C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7D5A7F3">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5B9C7813">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4.有依法缴纳税收和社会保障金的良好记录</w:t>
            </w:r>
          </w:p>
        </w:tc>
        <w:tc>
          <w:tcPr>
            <w:tcW w:w="4984" w:type="dxa"/>
            <w:vMerge w:val="continue"/>
            <w:vAlign w:val="center"/>
          </w:tcPr>
          <w:p w14:paraId="3F24CD6D">
            <w:pPr>
              <w:spacing w:line="500" w:lineRule="exact"/>
              <w:rPr>
                <w:rFonts w:hint="default" w:ascii="Times New Roman" w:hAnsi="Times New Roman" w:eastAsia="方正仿宋_GBK" w:cs="Times New Roman"/>
                <w:color w:val="000000"/>
                <w:sz w:val="21"/>
                <w:szCs w:val="21"/>
              </w:rPr>
            </w:pPr>
          </w:p>
        </w:tc>
      </w:tr>
      <w:tr w14:paraId="1E8A8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3E02803">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4732AA4A">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5.参加政府采购活动前三年内，在经营活动中没有重大违法记录</w:t>
            </w:r>
          </w:p>
        </w:tc>
        <w:tc>
          <w:tcPr>
            <w:tcW w:w="4984" w:type="dxa"/>
            <w:vMerge w:val="continue"/>
            <w:vAlign w:val="center"/>
          </w:tcPr>
          <w:p w14:paraId="226D2A1B">
            <w:pPr>
              <w:spacing w:line="500" w:lineRule="exact"/>
              <w:rPr>
                <w:rFonts w:hint="default" w:ascii="Times New Roman" w:hAnsi="Times New Roman" w:eastAsia="方正仿宋_GBK" w:cs="Times New Roman"/>
                <w:b/>
                <w:color w:val="000000"/>
                <w:sz w:val="21"/>
                <w:szCs w:val="21"/>
              </w:rPr>
            </w:pPr>
          </w:p>
        </w:tc>
      </w:tr>
      <w:tr w14:paraId="1A9CE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34D7D0E2">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13B5BC7E">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6.法律、行政法规规定的其他条件</w:t>
            </w:r>
          </w:p>
        </w:tc>
        <w:tc>
          <w:tcPr>
            <w:tcW w:w="4984" w:type="dxa"/>
            <w:vAlign w:val="center"/>
          </w:tcPr>
          <w:p w14:paraId="41063FDB">
            <w:pPr>
              <w:spacing w:line="500" w:lineRule="exact"/>
              <w:rPr>
                <w:rFonts w:hint="default" w:ascii="Times New Roman" w:hAnsi="Times New Roman" w:eastAsia="方正仿宋_GBK" w:cs="Times New Roman"/>
                <w:color w:val="000000"/>
                <w:sz w:val="21"/>
                <w:szCs w:val="21"/>
              </w:rPr>
            </w:pPr>
          </w:p>
        </w:tc>
      </w:tr>
      <w:tr w14:paraId="4B694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53D9FED2">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75472445">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7.本项目的特定资格要求</w:t>
            </w:r>
          </w:p>
        </w:tc>
        <w:tc>
          <w:tcPr>
            <w:tcW w:w="4984" w:type="dxa"/>
            <w:vAlign w:val="center"/>
          </w:tcPr>
          <w:p w14:paraId="78F3D9CB">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 三、供应商资格要求 （二）本项目的特定资格要求”的要求提交（如果有）。</w:t>
            </w:r>
          </w:p>
        </w:tc>
      </w:tr>
      <w:tr w14:paraId="7121C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09DA80CB">
            <w:pPr>
              <w:spacing w:line="500" w:lineRule="exact"/>
              <w:jc w:val="center"/>
              <w:rPr>
                <w:rFonts w:hint="default" w:ascii="Times New Roman" w:hAnsi="Times New Roman" w:eastAsia="方正仿宋_GBK" w:cs="Times New Roman"/>
                <w:color w:val="000000"/>
                <w:sz w:val="21"/>
                <w:szCs w:val="21"/>
                <w:lang w:eastAsia="zh-CN"/>
              </w:rPr>
            </w:pPr>
            <w:r>
              <w:rPr>
                <w:rFonts w:hint="default" w:ascii="Times New Roman" w:hAnsi="Times New Roman" w:eastAsia="方正仿宋_GBK" w:cs="Times New Roman"/>
                <w:color w:val="000000"/>
                <w:sz w:val="21"/>
                <w:szCs w:val="21"/>
                <w:lang w:eastAsia="zh-CN"/>
              </w:rPr>
              <w:t>（</w:t>
            </w:r>
            <w:r>
              <w:rPr>
                <w:rFonts w:hint="default" w:ascii="Times New Roman" w:hAnsi="Times New Roman" w:eastAsia="方正仿宋_GBK" w:cs="Times New Roman"/>
                <w:color w:val="000000"/>
                <w:sz w:val="21"/>
                <w:szCs w:val="21"/>
                <w:lang w:val="en-US" w:eastAsia="zh-CN"/>
              </w:rPr>
              <w:t>二</w:t>
            </w:r>
            <w:r>
              <w:rPr>
                <w:rFonts w:hint="default" w:ascii="Times New Roman" w:hAnsi="Times New Roman" w:eastAsia="方正仿宋_GBK" w:cs="Times New Roman"/>
                <w:color w:val="000000"/>
                <w:sz w:val="21"/>
                <w:szCs w:val="21"/>
                <w:lang w:eastAsia="zh-CN"/>
              </w:rPr>
              <w:t>）</w:t>
            </w:r>
          </w:p>
        </w:tc>
        <w:tc>
          <w:tcPr>
            <w:tcW w:w="3827" w:type="dxa"/>
            <w:vAlign w:val="center"/>
          </w:tcPr>
          <w:p w14:paraId="6957456D">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落实政府采购政策需满足的资格要求</w:t>
            </w:r>
          </w:p>
        </w:tc>
        <w:tc>
          <w:tcPr>
            <w:tcW w:w="4984" w:type="dxa"/>
            <w:vAlign w:val="center"/>
          </w:tcPr>
          <w:p w14:paraId="17EF16DD">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按“第一篇三、</w:t>
            </w:r>
            <w:r>
              <w:rPr>
                <w:rFonts w:hint="default" w:ascii="Times New Roman" w:hAnsi="Times New Roman" w:eastAsia="方正仿宋_GBK" w:cs="Times New Roman"/>
                <w:color w:val="000000"/>
                <w:sz w:val="21"/>
                <w:szCs w:val="21"/>
                <w:lang w:val="en-US" w:eastAsia="zh-CN"/>
              </w:rPr>
              <w:t>供应商</w:t>
            </w:r>
            <w:r>
              <w:rPr>
                <w:rFonts w:hint="default" w:ascii="Times New Roman" w:hAnsi="Times New Roman" w:eastAsia="方正仿宋_GBK" w:cs="Times New Roman"/>
                <w:color w:val="000000"/>
                <w:sz w:val="21"/>
                <w:szCs w:val="21"/>
              </w:rPr>
              <w:t>资格要求（二）落实政府采购政策需满足的资格要求”的要求提交（如果有）。</w:t>
            </w:r>
          </w:p>
        </w:tc>
      </w:tr>
    </w:tbl>
    <w:p w14:paraId="7D071B25">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14:paraId="2027DF53">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6862740D">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2.符合性审查。依据竞争性比选文件的规定，从响应文件的有效性、完整性和对竞争性比选文件的响应程度进行审查，以确定是否对竞争性比选文件的实质性要求作出响应。符合性审查资料表如下：</w:t>
      </w:r>
    </w:p>
    <w:tbl>
      <w:tblPr>
        <w:tblStyle w:val="5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3F178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14:paraId="433B7D7F">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14:paraId="203F3D20">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14:paraId="09240106">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评审标准</w:t>
            </w:r>
          </w:p>
        </w:tc>
      </w:tr>
      <w:tr w14:paraId="1FCCE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70F7E428">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5A66CDD2">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14:paraId="0D9E525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响应文件签署或盖章</w:t>
            </w:r>
          </w:p>
        </w:tc>
        <w:tc>
          <w:tcPr>
            <w:tcW w:w="5409" w:type="dxa"/>
            <w:tcBorders>
              <w:top w:val="single" w:color="auto" w:sz="4" w:space="0"/>
              <w:left w:val="single" w:color="auto" w:sz="4" w:space="0"/>
              <w:bottom w:val="single" w:color="auto" w:sz="4" w:space="0"/>
              <w:right w:val="single" w:color="auto" w:sz="4" w:space="0"/>
            </w:tcBorders>
            <w:vAlign w:val="center"/>
          </w:tcPr>
          <w:p w14:paraId="349F2DF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按竞争性比选文件“第六篇响应文件编制要求”要求签署或盖章。</w:t>
            </w:r>
          </w:p>
        </w:tc>
      </w:tr>
      <w:tr w14:paraId="7B1B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147344DD">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5020AB12">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1130DA25">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14:paraId="6D8EA0F9">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法定代表人身份证明及授权委托书有效，符合竞争性比选文件规定的格式，签署或盖章齐全。</w:t>
            </w:r>
          </w:p>
        </w:tc>
      </w:tr>
      <w:tr w14:paraId="14E3A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10E3E3F">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4D8C44C8">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1F3A6C0A">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c>
          <w:tcPr>
            <w:tcW w:w="5409" w:type="dxa"/>
            <w:tcBorders>
              <w:top w:val="single" w:color="auto" w:sz="4" w:space="0"/>
              <w:left w:val="single" w:color="auto" w:sz="4" w:space="0"/>
              <w:bottom w:val="single" w:color="auto" w:sz="4" w:space="0"/>
              <w:right w:val="single" w:color="auto" w:sz="4" w:space="0"/>
            </w:tcBorders>
            <w:vAlign w:val="center"/>
          </w:tcPr>
          <w:p w14:paraId="3D22C52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lang w:val="zh-CN"/>
              </w:rPr>
              <w:t>每个包只能有一个</w:t>
            </w: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r>
      <w:tr w14:paraId="504AE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A490837">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69848A79">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4BAC6CFB">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14:paraId="154316A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只能有一个有效报价，不得提交选择性报价。</w:t>
            </w:r>
          </w:p>
        </w:tc>
      </w:tr>
      <w:tr w14:paraId="06A15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tcBorders>
              <w:top w:val="single" w:color="auto" w:sz="4" w:space="0"/>
              <w:left w:val="single" w:color="auto" w:sz="4" w:space="0"/>
              <w:bottom w:val="single" w:color="auto" w:sz="4" w:space="0"/>
              <w:right w:val="single" w:color="auto" w:sz="4" w:space="0"/>
            </w:tcBorders>
            <w:vAlign w:val="center"/>
          </w:tcPr>
          <w:p w14:paraId="62684195">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2</w:t>
            </w:r>
          </w:p>
        </w:tc>
        <w:tc>
          <w:tcPr>
            <w:tcW w:w="1560" w:type="dxa"/>
            <w:tcBorders>
              <w:top w:val="single" w:color="auto" w:sz="4" w:space="0"/>
              <w:left w:val="single" w:color="auto" w:sz="4" w:space="0"/>
              <w:bottom w:val="single" w:color="auto" w:sz="4" w:space="0"/>
              <w:right w:val="single" w:color="auto" w:sz="4" w:space="0"/>
            </w:tcBorders>
            <w:vAlign w:val="center"/>
          </w:tcPr>
          <w:p w14:paraId="657C473E">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14:paraId="580F708F">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14:paraId="1224C39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文件正、副本数量（含电子文档）符合</w:t>
            </w:r>
            <w:r>
              <w:rPr>
                <w:rFonts w:hint="default" w:ascii="Times New Roman" w:hAnsi="Times New Roman" w:eastAsia="方正仿宋_GBK" w:cs="Times New Roman"/>
                <w:color w:val="000000"/>
                <w:sz w:val="21"/>
                <w:szCs w:val="21"/>
              </w:rPr>
              <w:t>竞争性比选文件</w:t>
            </w:r>
            <w:r>
              <w:rPr>
                <w:rFonts w:hint="default" w:ascii="Times New Roman" w:hAnsi="Times New Roman" w:eastAsia="方正仿宋_GBK" w:cs="Times New Roman"/>
                <w:color w:val="000000"/>
                <w:sz w:val="21"/>
                <w:szCs w:val="21"/>
                <w:lang w:val="zh-CN"/>
              </w:rPr>
              <w:t>要求。</w:t>
            </w:r>
          </w:p>
        </w:tc>
      </w:tr>
      <w:tr w14:paraId="28275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06C6A7EB">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556A190D">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kern w:val="0"/>
                <w:sz w:val="21"/>
                <w:szCs w:val="21"/>
              </w:rPr>
              <w:t>响应程度审查</w:t>
            </w:r>
          </w:p>
        </w:tc>
        <w:tc>
          <w:tcPr>
            <w:tcW w:w="1984" w:type="dxa"/>
            <w:tcBorders>
              <w:top w:val="single" w:color="auto" w:sz="4" w:space="0"/>
              <w:left w:val="single" w:color="auto" w:sz="4" w:space="0"/>
              <w:bottom w:val="single" w:color="auto" w:sz="4" w:space="0"/>
              <w:right w:val="single" w:color="auto" w:sz="4" w:space="0"/>
            </w:tcBorders>
            <w:vAlign w:val="center"/>
          </w:tcPr>
          <w:p w14:paraId="319BA1D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实质性响应</w:t>
            </w:r>
          </w:p>
        </w:tc>
        <w:tc>
          <w:tcPr>
            <w:tcW w:w="5409" w:type="dxa"/>
            <w:tcBorders>
              <w:top w:val="single" w:color="auto" w:sz="4" w:space="0"/>
              <w:left w:val="single" w:color="auto" w:sz="4" w:space="0"/>
              <w:bottom w:val="single" w:color="auto" w:sz="4" w:space="0"/>
              <w:right w:val="single" w:color="auto" w:sz="4" w:space="0"/>
            </w:tcBorders>
            <w:vAlign w:val="center"/>
          </w:tcPr>
          <w:p w14:paraId="4CB565D7">
            <w:pPr>
              <w:pStyle w:val="35"/>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竞争性比选文件第二篇、第三篇“</w:t>
            </w: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kern w:val="0"/>
                <w:sz w:val="21"/>
                <w:szCs w:val="21"/>
              </w:rPr>
              <w:t>”标注部分。</w:t>
            </w:r>
          </w:p>
        </w:tc>
      </w:tr>
      <w:tr w14:paraId="7CEBE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65448F04">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3B543FB3">
            <w:pPr>
              <w:widowControl/>
              <w:spacing w:line="500" w:lineRule="exact"/>
              <w:jc w:val="left"/>
              <w:rPr>
                <w:rFonts w:hint="default" w:ascii="Times New Roman" w:hAnsi="Times New Roman" w:eastAsia="方正仿宋_GBK" w:cs="Times New Roman"/>
                <w:color w:val="000000"/>
                <w:sz w:val="21"/>
                <w:szCs w:val="21"/>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14:paraId="6D91ECD7">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比选有效期</w:t>
            </w:r>
          </w:p>
        </w:tc>
        <w:tc>
          <w:tcPr>
            <w:tcW w:w="5409" w:type="dxa"/>
            <w:tcBorders>
              <w:top w:val="single" w:color="auto" w:sz="4" w:space="0"/>
              <w:left w:val="single" w:color="auto" w:sz="4" w:space="0"/>
              <w:bottom w:val="single" w:color="auto" w:sz="4" w:space="0"/>
              <w:right w:val="single" w:color="auto" w:sz="4" w:space="0"/>
            </w:tcBorders>
            <w:vAlign w:val="center"/>
          </w:tcPr>
          <w:p w14:paraId="467F9F5E">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响应文件及有关承诺文件有效期为提交响应文件截止时间起90天。</w:t>
            </w:r>
          </w:p>
        </w:tc>
      </w:tr>
    </w:tbl>
    <w:p w14:paraId="26A96248">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5" w:name="_Toc15516"/>
      <w:r>
        <w:rPr>
          <w:rFonts w:hint="default" w:ascii="Times New Roman" w:hAnsi="Times New Roman" w:eastAsia="方正仿宋_GBK" w:cs="Times New Roman"/>
          <w:color w:val="000000"/>
          <w:sz w:val="24"/>
        </w:rPr>
        <w:t>二、</w:t>
      </w:r>
      <w:bookmarkStart w:id="36" w:name="_Toc342913394"/>
      <w:bookmarkStart w:id="37" w:name="_Toc102227320"/>
      <w:r>
        <w:rPr>
          <w:rFonts w:hint="default" w:ascii="Times New Roman" w:hAnsi="Times New Roman" w:eastAsia="方正仿宋_GBK" w:cs="Times New Roman"/>
          <w:color w:val="000000"/>
          <w:sz w:val="24"/>
        </w:rPr>
        <w:t>评审</w:t>
      </w:r>
      <w:bookmarkEnd w:id="35"/>
      <w:r>
        <w:rPr>
          <w:rFonts w:hint="default" w:ascii="Times New Roman" w:hAnsi="Times New Roman" w:eastAsia="方正仿宋_GBK" w:cs="Times New Roman"/>
          <w:color w:val="000000"/>
          <w:sz w:val="24"/>
        </w:rPr>
        <w:t>办法</w:t>
      </w:r>
    </w:p>
    <w:p w14:paraId="40F13229">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本项目采用综合评分法进行评标。</w:t>
      </w:r>
    </w:p>
    <w:p w14:paraId="62586F3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100分。</w:t>
      </w:r>
    </w:p>
    <w:p w14:paraId="03957CB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澄清有关问题。对响应文件中含义不明确、同类问题表述不一致或者有明显文字和计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14:paraId="6F5CFE7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（一）比较与评价。按竞争性比选文件中规定的评标方法和标准，对资格审查和符合性审查合格的响应文件进行报价、服务部分和商务部分进行评审。</w:t>
      </w:r>
    </w:p>
    <w:p w14:paraId="1FC60C28">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小组各成员独立对每个有效供应商（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14:paraId="058D253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复核后，比选小组汇总每个供应商每项评分因素的得分。</w:t>
      </w:r>
    </w:p>
    <w:p w14:paraId="7ECE01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（二）推荐中标候选人名单。</w:t>
      </w:r>
    </w:p>
    <w:p w14:paraId="35F0176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14:paraId="2C8C7F15">
      <w:pPr>
        <w:spacing w:line="500" w:lineRule="exact"/>
        <w:ind w:firstLine="480" w:firstLineChars="200"/>
        <w:rPr>
          <w:rFonts w:hint="default" w:ascii="Times New Roman" w:hAnsi="Times New Roman" w:eastAsia="方正仿宋_GBK" w:cs="Times New Roman"/>
          <w:color w:val="000000"/>
          <w:sz w:val="24"/>
          <w:szCs w:val="24"/>
          <w:highlight w:val="none"/>
          <w:shd w:val="clear" w:color="auto" w:fill="FFFFFF"/>
        </w:rPr>
      </w:pPr>
      <w:r>
        <w:rPr>
          <w:rFonts w:hint="default" w:ascii="Times New Roman" w:hAnsi="Times New Roman" w:eastAsia="方正仿宋_GBK" w:cs="Times New Roman"/>
          <w:color w:val="000000"/>
          <w:sz w:val="24"/>
          <w:szCs w:val="24"/>
          <w:highlight w:val="none"/>
        </w:rPr>
        <w:t>（三）评标标准</w:t>
      </w:r>
      <w:bookmarkStart w:id="38" w:name="_Toc7016"/>
    </w:p>
    <w:tbl>
      <w:tblPr>
        <w:tblStyle w:val="59"/>
        <w:tblW w:w="97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478"/>
        <w:gridCol w:w="762"/>
        <w:gridCol w:w="4675"/>
        <w:gridCol w:w="1976"/>
      </w:tblGrid>
      <w:tr w14:paraId="11A9C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44" w:type="dxa"/>
            <w:tcBorders>
              <w:top w:val="single" w:color="auto" w:sz="4" w:space="0"/>
              <w:left w:val="single" w:color="auto" w:sz="4" w:space="0"/>
              <w:bottom w:val="single" w:color="auto" w:sz="4" w:space="0"/>
              <w:right w:val="single" w:color="auto" w:sz="4" w:space="0"/>
            </w:tcBorders>
            <w:noWrap/>
            <w:vAlign w:val="center"/>
          </w:tcPr>
          <w:p w14:paraId="09C91FA0">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ascii="Times New Roman" w:hAnsi="Times New Roman"/>
                <w:b/>
                <w:sz w:val="21"/>
                <w:szCs w:val="21"/>
              </w:rPr>
            </w:pPr>
            <w:bookmarkStart w:id="39" w:name="_Toc20798"/>
            <w:bookmarkStart w:id="40" w:name="_Toc3443"/>
            <w:r>
              <w:rPr>
                <w:rFonts w:hint="eastAsia" w:ascii="Times New Roman" w:hAnsi="Times New Roman"/>
                <w:b/>
                <w:sz w:val="21"/>
                <w:szCs w:val="21"/>
              </w:rPr>
              <w:t>序号</w:t>
            </w:r>
          </w:p>
        </w:tc>
        <w:tc>
          <w:tcPr>
            <w:tcW w:w="1478" w:type="dxa"/>
            <w:tcBorders>
              <w:top w:val="single" w:color="auto" w:sz="4" w:space="0"/>
              <w:left w:val="single" w:color="auto" w:sz="4" w:space="0"/>
              <w:bottom w:val="single" w:color="auto" w:sz="4" w:space="0"/>
              <w:right w:val="single" w:color="auto" w:sz="4" w:space="0"/>
            </w:tcBorders>
            <w:noWrap/>
            <w:vAlign w:val="center"/>
          </w:tcPr>
          <w:p w14:paraId="5A80840F">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ascii="Times New Roman" w:hAnsi="Times New Roman"/>
                <w:b/>
                <w:sz w:val="21"/>
                <w:szCs w:val="21"/>
              </w:rPr>
            </w:pPr>
            <w:r>
              <w:rPr>
                <w:rFonts w:hint="eastAsia" w:ascii="Times New Roman" w:hAnsi="Times New Roman"/>
                <w:b/>
                <w:sz w:val="21"/>
                <w:szCs w:val="21"/>
              </w:rPr>
              <w:t>评分因素及权值</w:t>
            </w:r>
          </w:p>
        </w:tc>
        <w:tc>
          <w:tcPr>
            <w:tcW w:w="762" w:type="dxa"/>
            <w:tcBorders>
              <w:top w:val="single" w:color="auto" w:sz="4" w:space="0"/>
              <w:left w:val="single" w:color="auto" w:sz="4" w:space="0"/>
              <w:bottom w:val="single" w:color="auto" w:sz="4" w:space="0"/>
              <w:right w:val="single" w:color="auto" w:sz="4" w:space="0"/>
            </w:tcBorders>
            <w:noWrap/>
            <w:vAlign w:val="center"/>
          </w:tcPr>
          <w:p w14:paraId="4F579D1F">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ascii="Times New Roman" w:hAnsi="Times New Roman"/>
                <w:b/>
                <w:sz w:val="21"/>
                <w:szCs w:val="21"/>
              </w:rPr>
            </w:pPr>
            <w:r>
              <w:rPr>
                <w:rFonts w:hint="eastAsia" w:ascii="Times New Roman" w:hAnsi="Times New Roman"/>
                <w:b/>
                <w:sz w:val="21"/>
                <w:szCs w:val="21"/>
              </w:rPr>
              <w:t>分值</w:t>
            </w:r>
          </w:p>
        </w:tc>
        <w:tc>
          <w:tcPr>
            <w:tcW w:w="4675" w:type="dxa"/>
            <w:tcBorders>
              <w:top w:val="single" w:color="auto" w:sz="4" w:space="0"/>
              <w:left w:val="single" w:color="auto" w:sz="4" w:space="0"/>
              <w:bottom w:val="single" w:color="auto" w:sz="4" w:space="0"/>
              <w:right w:val="single" w:color="auto" w:sz="4" w:space="0"/>
            </w:tcBorders>
            <w:noWrap/>
            <w:vAlign w:val="center"/>
          </w:tcPr>
          <w:p w14:paraId="5F7E8994">
            <w:pPr>
              <w:keepNext w:val="0"/>
              <w:keepLines/>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b/>
                <w:sz w:val="21"/>
                <w:szCs w:val="21"/>
              </w:rPr>
            </w:pPr>
            <w:r>
              <w:rPr>
                <w:rFonts w:hint="eastAsia" w:ascii="Times New Roman" w:hAnsi="Times New Roman"/>
                <w:b/>
                <w:sz w:val="21"/>
                <w:szCs w:val="21"/>
              </w:rPr>
              <w:t>评分标准</w:t>
            </w:r>
          </w:p>
        </w:tc>
        <w:tc>
          <w:tcPr>
            <w:tcW w:w="1976" w:type="dxa"/>
            <w:tcBorders>
              <w:top w:val="single" w:color="auto" w:sz="4" w:space="0"/>
              <w:left w:val="single" w:color="auto" w:sz="4" w:space="0"/>
              <w:bottom w:val="single" w:color="auto" w:sz="4" w:space="0"/>
              <w:right w:val="single" w:color="auto" w:sz="4" w:space="0"/>
            </w:tcBorders>
            <w:noWrap/>
            <w:vAlign w:val="center"/>
          </w:tcPr>
          <w:p w14:paraId="13E6FC67">
            <w:pPr>
              <w:keepNext w:val="0"/>
              <w:keepLines/>
              <w:pageBreakBefore w:val="0"/>
              <w:widowControl w:val="0"/>
              <w:kinsoku/>
              <w:wordWrap/>
              <w:overflowPunct/>
              <w:topLinePunct w:val="0"/>
              <w:autoSpaceDE/>
              <w:autoSpaceDN/>
              <w:bidi w:val="0"/>
              <w:adjustRightInd/>
              <w:snapToGrid/>
              <w:spacing w:line="276" w:lineRule="auto"/>
              <w:ind w:left="0" w:firstLine="0" w:firstLineChars="0"/>
              <w:jc w:val="center"/>
              <w:textAlignment w:val="auto"/>
              <w:rPr>
                <w:rFonts w:hint="eastAsia" w:ascii="Times New Roman" w:hAnsi="Times New Roman"/>
                <w:b/>
                <w:sz w:val="21"/>
                <w:szCs w:val="21"/>
              </w:rPr>
            </w:pPr>
            <w:r>
              <w:rPr>
                <w:rFonts w:hint="eastAsia" w:ascii="Times New Roman" w:hAnsi="Times New Roman"/>
                <w:b/>
                <w:sz w:val="21"/>
                <w:szCs w:val="21"/>
              </w:rPr>
              <w:t>说明</w:t>
            </w:r>
          </w:p>
        </w:tc>
      </w:tr>
      <w:tr w14:paraId="58260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844" w:type="dxa"/>
            <w:tcBorders>
              <w:top w:val="single" w:color="auto" w:sz="4" w:space="0"/>
              <w:left w:val="single" w:color="auto" w:sz="4" w:space="0"/>
              <w:right w:val="single" w:color="auto" w:sz="4" w:space="0"/>
            </w:tcBorders>
            <w:noWrap/>
            <w:vAlign w:val="center"/>
          </w:tcPr>
          <w:p w14:paraId="6FF4C20B">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1</w:t>
            </w:r>
          </w:p>
        </w:tc>
        <w:tc>
          <w:tcPr>
            <w:tcW w:w="1478" w:type="dxa"/>
            <w:tcBorders>
              <w:top w:val="single" w:color="auto" w:sz="4" w:space="0"/>
              <w:left w:val="single" w:color="auto" w:sz="4" w:space="0"/>
              <w:right w:val="single" w:color="auto" w:sz="4" w:space="0"/>
            </w:tcBorders>
            <w:noWrap/>
            <w:vAlign w:val="center"/>
          </w:tcPr>
          <w:p w14:paraId="773073E4">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比选报价</w:t>
            </w:r>
          </w:p>
          <w:p w14:paraId="025FE5C9">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w:t>
            </w:r>
            <w:r>
              <w:rPr>
                <w:rFonts w:hint="default" w:eastAsia="方正仿宋_GBK" w:cs="Times New Roman"/>
                <w:sz w:val="21"/>
                <w:szCs w:val="21"/>
                <w:lang w:val="en-US"/>
              </w:rPr>
              <w:t>20</w:t>
            </w:r>
            <w:r>
              <w:rPr>
                <w:rFonts w:hint="default" w:ascii="Times New Roman" w:hAnsi="Times New Roman" w:eastAsia="方正仿宋_GBK" w:cs="Times New Roman"/>
                <w:sz w:val="21"/>
                <w:szCs w:val="21"/>
              </w:rPr>
              <w:t>%）</w:t>
            </w:r>
          </w:p>
        </w:tc>
        <w:tc>
          <w:tcPr>
            <w:tcW w:w="762" w:type="dxa"/>
            <w:tcBorders>
              <w:top w:val="single" w:color="auto" w:sz="4" w:space="0"/>
              <w:left w:val="single" w:color="auto" w:sz="4" w:space="0"/>
              <w:bottom w:val="single" w:color="auto" w:sz="4" w:space="0"/>
              <w:right w:val="single" w:color="auto" w:sz="4" w:space="0"/>
            </w:tcBorders>
            <w:noWrap/>
            <w:vAlign w:val="center"/>
          </w:tcPr>
          <w:p w14:paraId="16D4EFD5">
            <w:pPr>
              <w:keepNext w:val="0"/>
              <w:keepLines/>
              <w:pageBreakBefore w:val="0"/>
              <w:widowControl w:val="0"/>
              <w:kinsoku/>
              <w:wordWrap/>
              <w:overflowPunct/>
              <w:topLinePunct w:val="0"/>
              <w:autoSpaceDE/>
              <w:autoSpaceDN/>
              <w:bidi w:val="0"/>
              <w:adjustRightInd/>
              <w:snapToGrid/>
              <w:spacing w:line="320" w:lineRule="exact"/>
              <w:ind w:left="0" w:firstLine="0" w:firstLineChars="0"/>
              <w:jc w:val="center"/>
              <w:textAlignment w:val="auto"/>
              <w:rPr>
                <w:rFonts w:hint="default" w:ascii="Times New Roman" w:hAnsi="Times New Roman" w:eastAsia="方正仿宋_GBK" w:cs="Times New Roman"/>
                <w:sz w:val="21"/>
                <w:szCs w:val="21"/>
              </w:rPr>
            </w:pPr>
            <w:r>
              <w:rPr>
                <w:rFonts w:hint="default" w:eastAsia="方正仿宋_GBK" w:cs="Times New Roman"/>
                <w:sz w:val="21"/>
                <w:szCs w:val="21"/>
                <w:lang w:val="en-US" w:eastAsia="zh-CN"/>
              </w:rPr>
              <w:t>2</w:t>
            </w:r>
            <w:r>
              <w:rPr>
                <w:rFonts w:hint="default" w:ascii="Times New Roman" w:hAnsi="Times New Roman" w:eastAsia="方正仿宋_GBK" w:cs="Times New Roman"/>
                <w:sz w:val="21"/>
                <w:szCs w:val="21"/>
                <w:lang w:val="en-US" w:eastAsia="zh-CN"/>
              </w:rPr>
              <w:t>0</w:t>
            </w:r>
            <w:r>
              <w:rPr>
                <w:rFonts w:hint="default" w:ascii="Times New Roman" w:hAnsi="Times New Roman" w:eastAsia="方正仿宋_GBK" w:cs="Times New Roman"/>
                <w:sz w:val="21"/>
                <w:szCs w:val="21"/>
              </w:rPr>
              <w:t>分</w:t>
            </w:r>
          </w:p>
        </w:tc>
        <w:tc>
          <w:tcPr>
            <w:tcW w:w="4675" w:type="dxa"/>
            <w:tcBorders>
              <w:top w:val="single" w:color="auto" w:sz="4" w:space="0"/>
              <w:left w:val="single" w:color="auto" w:sz="4" w:space="0"/>
              <w:right w:val="single" w:color="auto" w:sz="4" w:space="0"/>
            </w:tcBorders>
            <w:noWrap/>
            <w:vAlign w:val="center"/>
          </w:tcPr>
          <w:p w14:paraId="6A484DBA">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满足资格性、符合性要求且最后报价最低的供应商的价格为基准价，其价格分为满分。其他供应商的价格分统一按照下列公式计算:</w:t>
            </w:r>
          </w:p>
          <w:p w14:paraId="71014273">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lang w:val="en-US" w:eastAsia="zh-CN"/>
              </w:rPr>
            </w:pPr>
            <w:r>
              <w:rPr>
                <w:rFonts w:hint="default" w:ascii="Times New Roman" w:hAnsi="Times New Roman" w:eastAsia="方正仿宋_GBK" w:cs="Times New Roman"/>
                <w:sz w:val="21"/>
                <w:szCs w:val="21"/>
              </w:rPr>
              <w:t>报价得分=（基准价/报价）×</w:t>
            </w:r>
            <w:r>
              <w:rPr>
                <w:rFonts w:hint="default" w:eastAsia="方正仿宋_GBK" w:cs="Times New Roman"/>
                <w:sz w:val="21"/>
                <w:szCs w:val="21"/>
                <w:lang w:val="en-US"/>
              </w:rPr>
              <w:t>2</w:t>
            </w:r>
            <w:r>
              <w:rPr>
                <w:rFonts w:hint="eastAsia" w:ascii="Times New Roman" w:hAnsi="Times New Roman" w:eastAsia="方正仿宋_GBK" w:cs="Times New Roman"/>
                <w:sz w:val="21"/>
                <w:szCs w:val="21"/>
                <w:lang w:val="en-US" w:eastAsia="zh-CN"/>
              </w:rPr>
              <w:t>0</w:t>
            </w:r>
          </w:p>
        </w:tc>
        <w:tc>
          <w:tcPr>
            <w:tcW w:w="1976" w:type="dxa"/>
            <w:tcBorders>
              <w:top w:val="single" w:color="auto" w:sz="4" w:space="0"/>
              <w:left w:val="single" w:color="auto" w:sz="4" w:space="0"/>
              <w:right w:val="single" w:color="auto" w:sz="4" w:space="0"/>
            </w:tcBorders>
            <w:noWrap/>
            <w:vAlign w:val="center"/>
          </w:tcPr>
          <w:p w14:paraId="05EB4237">
            <w:pPr>
              <w:keepNext w:val="0"/>
              <w:keepLines/>
              <w:pageBreakBefore w:val="0"/>
              <w:widowControl w:val="0"/>
              <w:kinsoku/>
              <w:wordWrap/>
              <w:overflowPunct/>
              <w:topLinePunct w:val="0"/>
              <w:autoSpaceDE/>
              <w:autoSpaceDN/>
              <w:bidi w:val="0"/>
              <w:adjustRightInd/>
              <w:snapToGrid/>
              <w:spacing w:line="276" w:lineRule="auto"/>
              <w:ind w:left="-38"/>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对小微企业的价格用扣除后的价格参与评审，详见“注:关于小微企业报价扣除比例说明”。</w:t>
            </w:r>
          </w:p>
        </w:tc>
      </w:tr>
      <w:tr w14:paraId="6676A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44" w:type="dxa"/>
            <w:vMerge w:val="restart"/>
            <w:tcBorders>
              <w:top w:val="single" w:color="auto" w:sz="4" w:space="0"/>
              <w:left w:val="single" w:color="auto" w:sz="4" w:space="0"/>
              <w:right w:val="single" w:color="auto" w:sz="4" w:space="0"/>
            </w:tcBorders>
            <w:noWrap/>
            <w:vAlign w:val="center"/>
          </w:tcPr>
          <w:p w14:paraId="7E9F5B42">
            <w:pPr>
              <w:keepNext w:val="0"/>
              <w:keepLines/>
              <w:pageBreakBefore w:val="0"/>
              <w:widowControl w:val="0"/>
              <w:kinsoku/>
              <w:wordWrap/>
              <w:overflowPunct/>
              <w:topLinePunct w:val="0"/>
              <w:autoSpaceDE/>
              <w:autoSpaceDN/>
              <w:bidi w:val="0"/>
              <w:adjustRightInd/>
              <w:snapToGrid/>
              <w:spacing w:line="276" w:lineRule="auto"/>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2</w:t>
            </w:r>
          </w:p>
        </w:tc>
        <w:tc>
          <w:tcPr>
            <w:tcW w:w="1478" w:type="dxa"/>
            <w:vMerge w:val="restart"/>
            <w:tcBorders>
              <w:top w:val="single" w:color="auto" w:sz="4" w:space="0"/>
              <w:left w:val="single" w:color="auto" w:sz="4" w:space="0"/>
              <w:right w:val="single" w:color="auto" w:sz="4" w:space="0"/>
            </w:tcBorders>
            <w:noWrap/>
            <w:vAlign w:val="center"/>
          </w:tcPr>
          <w:p w14:paraId="498993F3">
            <w:pPr>
              <w:keepNext w:val="0"/>
              <w:keepLines/>
              <w:pageBreakBefore w:val="0"/>
              <w:widowControl w:val="0"/>
              <w:kinsoku/>
              <w:wordWrap/>
              <w:overflowPunct/>
              <w:topLinePunct w:val="0"/>
              <w:autoSpaceDE/>
              <w:autoSpaceDN/>
              <w:bidi w:val="0"/>
              <w:adjustRightInd/>
              <w:snapToGrid/>
              <w:spacing w:line="276" w:lineRule="auto"/>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服务部分（</w:t>
            </w:r>
            <w:r>
              <w:rPr>
                <w:rFonts w:hint="eastAsia" w:eastAsia="方正仿宋_GBK" w:cs="Times New Roman"/>
                <w:sz w:val="21"/>
                <w:szCs w:val="21"/>
                <w:lang w:val="en-US" w:eastAsia="zh-CN"/>
              </w:rPr>
              <w:t>60</w:t>
            </w:r>
            <w:r>
              <w:rPr>
                <w:rFonts w:hint="default" w:ascii="Times New Roman" w:hAnsi="Times New Roman" w:eastAsia="方正仿宋_GBK" w:cs="Times New Roman"/>
                <w:sz w:val="21"/>
                <w:szCs w:val="21"/>
              </w:rPr>
              <w:t>%）</w:t>
            </w:r>
          </w:p>
        </w:tc>
        <w:tc>
          <w:tcPr>
            <w:tcW w:w="762" w:type="dxa"/>
            <w:vMerge w:val="restart"/>
            <w:tcBorders>
              <w:top w:val="single" w:color="auto" w:sz="4" w:space="0"/>
              <w:left w:val="single" w:color="auto" w:sz="4" w:space="0"/>
              <w:right w:val="single" w:color="auto" w:sz="4" w:space="0"/>
            </w:tcBorders>
            <w:noWrap/>
            <w:vAlign w:val="center"/>
          </w:tcPr>
          <w:p w14:paraId="5E3E597B">
            <w:pPr>
              <w:keepNext w:val="0"/>
              <w:keepLines/>
              <w:pageBreakBefore w:val="0"/>
              <w:widowControl w:val="0"/>
              <w:kinsoku/>
              <w:wordWrap/>
              <w:overflowPunct/>
              <w:topLinePunct w:val="0"/>
              <w:autoSpaceDE/>
              <w:autoSpaceDN/>
              <w:bidi w:val="0"/>
              <w:adjustRightInd/>
              <w:snapToGrid/>
              <w:spacing w:line="276" w:lineRule="auto"/>
              <w:ind w:left="0" w:firstLine="0" w:firstLineChars="0"/>
              <w:jc w:val="center"/>
              <w:textAlignment w:val="auto"/>
              <w:rPr>
                <w:rFonts w:hint="default" w:ascii="Times New Roman" w:hAnsi="Times New Roman" w:eastAsia="方正仿宋_GBK" w:cs="Times New Roman"/>
                <w:sz w:val="21"/>
                <w:szCs w:val="21"/>
              </w:rPr>
            </w:pPr>
            <w:r>
              <w:rPr>
                <w:rFonts w:hint="eastAsia" w:eastAsia="方正仿宋_GBK" w:cs="Times New Roman"/>
                <w:sz w:val="21"/>
                <w:szCs w:val="21"/>
                <w:lang w:val="en-US" w:eastAsia="zh-CN"/>
              </w:rPr>
              <w:t>60</w:t>
            </w:r>
            <w:r>
              <w:rPr>
                <w:rFonts w:hint="default" w:ascii="Times New Roman" w:hAnsi="Times New Roman" w:eastAsia="方正仿宋_GBK" w:cs="Times New Roman"/>
                <w:sz w:val="21"/>
                <w:szCs w:val="21"/>
              </w:rPr>
              <w:t>分</w:t>
            </w:r>
          </w:p>
        </w:tc>
        <w:tc>
          <w:tcPr>
            <w:tcW w:w="4675" w:type="dxa"/>
            <w:tcBorders>
              <w:top w:val="single" w:color="auto" w:sz="4" w:space="0"/>
              <w:left w:val="single" w:color="auto" w:sz="4" w:space="0"/>
              <w:right w:val="single" w:color="auto" w:sz="4" w:space="0"/>
            </w:tcBorders>
            <w:noWrap/>
            <w:vAlign w:val="center"/>
          </w:tcPr>
          <w:p w14:paraId="5D149DC6">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1.总体</w:t>
            </w:r>
            <w:r>
              <w:rPr>
                <w:rFonts w:hint="eastAsia" w:eastAsia="方正仿宋_GBK" w:cs="Times New Roman"/>
                <w:sz w:val="21"/>
                <w:szCs w:val="21"/>
                <w:lang w:val="en-US" w:eastAsia="zh-CN"/>
              </w:rPr>
              <w:t>策划</w:t>
            </w:r>
            <w:r>
              <w:rPr>
                <w:rFonts w:hint="eastAsia" w:ascii="Times New Roman" w:hAnsi="Times New Roman" w:eastAsia="方正仿宋_GBK" w:cs="Times New Roman"/>
                <w:sz w:val="21"/>
                <w:szCs w:val="21"/>
              </w:rPr>
              <w:t>方案（20分</w:t>
            </w:r>
            <w:r>
              <w:rPr>
                <w:rFonts w:hint="default" w:ascii="Times New Roman" w:hAnsi="Times New Roman" w:eastAsia="方正仿宋_GBK" w:cs="Times New Roman"/>
                <w:sz w:val="21"/>
                <w:szCs w:val="21"/>
              </w:rPr>
              <w:t>）</w:t>
            </w:r>
          </w:p>
          <w:p w14:paraId="3A1D93CA">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对供应商提供的</w:t>
            </w:r>
            <w:r>
              <w:rPr>
                <w:rFonts w:hint="eastAsia" w:eastAsia="方正仿宋_GBK" w:cs="Times New Roman"/>
                <w:sz w:val="21"/>
                <w:szCs w:val="21"/>
                <w:lang w:val="en-US" w:eastAsia="zh-CN"/>
              </w:rPr>
              <w:t>公务活动及行程安排、</w:t>
            </w:r>
            <w:r>
              <w:rPr>
                <w:rFonts w:hint="eastAsia" w:ascii="Times New Roman" w:hAnsi="Times New Roman" w:eastAsia="方正仿宋_GBK" w:cs="Times New Roman"/>
                <w:sz w:val="21"/>
                <w:szCs w:val="21"/>
              </w:rPr>
              <w:t>招展、</w:t>
            </w:r>
            <w:r>
              <w:rPr>
                <w:rFonts w:hint="default" w:ascii="Times New Roman" w:hAnsi="Times New Roman" w:eastAsia="方正仿宋_GBK" w:cs="Times New Roman"/>
                <w:sz w:val="21"/>
                <w:szCs w:val="21"/>
              </w:rPr>
              <w:t>组团</w:t>
            </w:r>
            <w:r>
              <w:rPr>
                <w:rFonts w:hint="eastAsia" w:ascii="Times New Roman" w:hAnsi="Times New Roman" w:eastAsia="方正仿宋_GBK" w:cs="Times New Roman"/>
                <w:sz w:val="21"/>
                <w:szCs w:val="21"/>
              </w:rPr>
              <w:t>、</w:t>
            </w:r>
            <w:r>
              <w:rPr>
                <w:rFonts w:hint="eastAsia" w:eastAsia="方正仿宋_GBK" w:cs="Times New Roman"/>
                <w:sz w:val="21"/>
                <w:szCs w:val="21"/>
                <w:lang w:val="en-US" w:eastAsia="zh-CN"/>
              </w:rPr>
              <w:t>经贸对接会的策划、</w:t>
            </w:r>
            <w:r>
              <w:rPr>
                <w:rFonts w:hint="default" w:ascii="Times New Roman" w:hAnsi="Times New Roman" w:eastAsia="方正仿宋_GBK" w:cs="Times New Roman"/>
                <w:sz w:val="21"/>
                <w:szCs w:val="21"/>
              </w:rPr>
              <w:t>对接</w:t>
            </w:r>
            <w:r>
              <w:rPr>
                <w:rFonts w:hint="eastAsia" w:ascii="Times New Roman" w:hAnsi="Times New Roman" w:eastAsia="方正仿宋_GBK" w:cs="Times New Roman"/>
                <w:sz w:val="21"/>
                <w:szCs w:val="21"/>
              </w:rPr>
              <w:t>服务方案的可行性、科学性、合理性</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项目实施要点和管理要点的准确性和完善性</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保障措施的合理性、可行性等方面进行评审：</w:t>
            </w:r>
          </w:p>
          <w:p w14:paraId="5E3ADD49">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优</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方案齐全完善、阐述非常详尽，针对性、</w:t>
            </w:r>
            <w:r>
              <w:rPr>
                <w:rFonts w:hint="default" w:ascii="Times New Roman" w:hAnsi="Times New Roman" w:eastAsia="方正仿宋_GBK" w:cs="Times New Roman"/>
                <w:sz w:val="21"/>
                <w:szCs w:val="21"/>
              </w:rPr>
              <w:t>可行性强</w:t>
            </w:r>
            <w:r>
              <w:rPr>
                <w:rFonts w:hint="eastAsia" w:ascii="Times New Roman" w:hAnsi="Times New Roman" w:eastAsia="方正仿宋_GBK" w:cs="Times New Roman"/>
                <w:sz w:val="21"/>
                <w:szCs w:val="21"/>
              </w:rPr>
              <w:t>）得20分；</w:t>
            </w:r>
          </w:p>
          <w:p w14:paraId="7FDB45BD">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良</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方案较完善、阐述较详尽，针对性、</w:t>
            </w:r>
            <w:r>
              <w:rPr>
                <w:rFonts w:hint="default" w:ascii="Times New Roman" w:hAnsi="Times New Roman" w:eastAsia="方正仿宋_GBK" w:cs="Times New Roman"/>
                <w:sz w:val="21"/>
                <w:szCs w:val="21"/>
              </w:rPr>
              <w:t>可行性</w:t>
            </w:r>
            <w:r>
              <w:rPr>
                <w:rFonts w:hint="eastAsia" w:ascii="Times New Roman" w:hAnsi="Times New Roman" w:eastAsia="方正仿宋_GBK" w:cs="Times New Roman"/>
                <w:sz w:val="21"/>
                <w:szCs w:val="21"/>
              </w:rPr>
              <w:t>较</w:t>
            </w:r>
            <w:r>
              <w:rPr>
                <w:rFonts w:hint="default" w:ascii="Times New Roman" w:hAnsi="Times New Roman" w:eastAsia="方正仿宋_GBK" w:cs="Times New Roman"/>
                <w:sz w:val="21"/>
                <w:szCs w:val="21"/>
              </w:rPr>
              <w:t>强</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得1</w:t>
            </w:r>
            <w:r>
              <w:rPr>
                <w:rFonts w:hint="eastAsia" w:eastAsia="方正仿宋_GBK" w:cs="Times New Roman"/>
                <w:sz w:val="21"/>
                <w:szCs w:val="21"/>
                <w:lang w:val="en-US" w:eastAsia="zh-CN"/>
              </w:rPr>
              <w:t>5</w:t>
            </w:r>
            <w:r>
              <w:rPr>
                <w:rFonts w:hint="eastAsia" w:ascii="Times New Roman" w:hAnsi="Times New Roman" w:eastAsia="方正仿宋_GBK" w:cs="Times New Roman"/>
                <w:sz w:val="21"/>
                <w:szCs w:val="21"/>
              </w:rPr>
              <w:t>分；</w:t>
            </w:r>
          </w:p>
          <w:p w14:paraId="5FC61BB4">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eastAsia="方正仿宋_GBK" w:cs="Times New Roman"/>
                <w:sz w:val="21"/>
                <w:szCs w:val="21"/>
                <w:lang w:val="en-US" w:eastAsia="zh-CN"/>
              </w:rPr>
              <w:t>一般</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方案齐全、阐述简单，基本可行）得</w:t>
            </w:r>
            <w:r>
              <w:rPr>
                <w:rFonts w:hint="eastAsia" w:eastAsia="方正仿宋_GBK" w:cs="Times New Roman"/>
                <w:sz w:val="21"/>
                <w:szCs w:val="21"/>
                <w:lang w:val="en-US" w:eastAsia="zh-CN"/>
              </w:rPr>
              <w:t>10</w:t>
            </w:r>
            <w:r>
              <w:rPr>
                <w:rFonts w:hint="eastAsia" w:ascii="Times New Roman" w:hAnsi="Times New Roman" w:eastAsia="方正仿宋_GBK" w:cs="Times New Roman"/>
                <w:sz w:val="21"/>
                <w:szCs w:val="21"/>
              </w:rPr>
              <w:t>分；</w:t>
            </w:r>
          </w:p>
          <w:p w14:paraId="62B5D6D0">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eastAsia" w:ascii="Times New Roman" w:hAnsi="Times New Roman" w:eastAsia="方正仿宋_GBK" w:cs="Times New Roman"/>
                <w:sz w:val="21"/>
                <w:szCs w:val="21"/>
                <w:lang w:eastAsia="zh-CN"/>
              </w:rPr>
            </w:pPr>
            <w:r>
              <w:rPr>
                <w:rFonts w:hint="default" w:ascii="Times New Roman" w:hAnsi="Times New Roman" w:eastAsia="方正仿宋_GBK" w:cs="Times New Roman"/>
                <w:sz w:val="21"/>
                <w:szCs w:val="21"/>
              </w:rPr>
              <w:t>未提供得0分</w:t>
            </w:r>
            <w:r>
              <w:rPr>
                <w:rFonts w:hint="eastAsia" w:eastAsia="方正仿宋_GBK" w:cs="Times New Roman"/>
                <w:sz w:val="21"/>
                <w:szCs w:val="21"/>
                <w:lang w:eastAsia="zh-CN"/>
              </w:rPr>
              <w:t>。</w:t>
            </w:r>
          </w:p>
        </w:tc>
        <w:tc>
          <w:tcPr>
            <w:tcW w:w="1976" w:type="dxa"/>
            <w:vMerge w:val="restart"/>
            <w:tcBorders>
              <w:top w:val="single" w:color="auto" w:sz="4" w:space="0"/>
              <w:left w:val="single" w:color="auto" w:sz="4" w:space="0"/>
              <w:right w:val="single" w:color="auto" w:sz="4" w:space="0"/>
            </w:tcBorders>
            <w:noWrap/>
            <w:vAlign w:val="center"/>
          </w:tcPr>
          <w:p w14:paraId="6A164C4C">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供应商提供方案，格式自拟。</w:t>
            </w:r>
          </w:p>
        </w:tc>
      </w:tr>
      <w:tr w14:paraId="400AF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noWrap/>
            <w:vAlign w:val="center"/>
          </w:tcPr>
          <w:p w14:paraId="0E000301">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1478" w:type="dxa"/>
            <w:vMerge w:val="continue"/>
            <w:tcBorders>
              <w:left w:val="single" w:color="auto" w:sz="4" w:space="0"/>
              <w:right w:val="single" w:color="auto" w:sz="4" w:space="0"/>
            </w:tcBorders>
            <w:noWrap/>
            <w:vAlign w:val="center"/>
          </w:tcPr>
          <w:p w14:paraId="6C87F45A">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762" w:type="dxa"/>
            <w:vMerge w:val="continue"/>
            <w:tcBorders>
              <w:left w:val="single" w:color="auto" w:sz="4" w:space="0"/>
              <w:right w:val="single" w:color="auto" w:sz="4" w:space="0"/>
            </w:tcBorders>
            <w:noWrap/>
            <w:vAlign w:val="center"/>
          </w:tcPr>
          <w:p w14:paraId="594BC1B3">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4675" w:type="dxa"/>
            <w:tcBorders>
              <w:top w:val="single" w:color="auto" w:sz="4" w:space="0"/>
              <w:left w:val="single" w:color="auto" w:sz="4" w:space="0"/>
              <w:right w:val="single" w:color="auto" w:sz="4" w:space="0"/>
            </w:tcBorders>
            <w:noWrap/>
            <w:vAlign w:val="center"/>
          </w:tcPr>
          <w:p w14:paraId="48237DE5">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2.</w:t>
            </w:r>
            <w:r>
              <w:rPr>
                <w:rFonts w:hint="eastAsia" w:eastAsia="方正仿宋_GBK" w:cs="Times New Roman"/>
                <w:sz w:val="21"/>
                <w:szCs w:val="21"/>
                <w:lang w:val="en-US" w:eastAsia="zh-CN"/>
              </w:rPr>
              <w:t>形象展区</w:t>
            </w:r>
            <w:r>
              <w:rPr>
                <w:rFonts w:hint="eastAsia" w:ascii="Times New Roman" w:hAnsi="Times New Roman" w:eastAsia="方正仿宋_GBK" w:cs="Times New Roman"/>
                <w:sz w:val="21"/>
                <w:szCs w:val="21"/>
              </w:rPr>
              <w:t>方案（20分</w:t>
            </w:r>
            <w:r>
              <w:rPr>
                <w:rFonts w:hint="default" w:ascii="Times New Roman" w:hAnsi="Times New Roman" w:eastAsia="方正仿宋_GBK" w:cs="Times New Roman"/>
                <w:sz w:val="21"/>
                <w:szCs w:val="21"/>
              </w:rPr>
              <w:t>）</w:t>
            </w:r>
          </w:p>
          <w:p w14:paraId="6A8A51BF">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根据供应商提供的中心形象展区效果图方案进行综合评审：</w:t>
            </w:r>
          </w:p>
          <w:p w14:paraId="1C4D3337">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优</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设计、规划等各项因素考虑细致，标准高，完全满足本项目采购需求）得20分；</w:t>
            </w:r>
          </w:p>
          <w:p w14:paraId="36E5049F">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良</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各项因素较齐全，标准较高，较满足采购需求）得1</w:t>
            </w:r>
            <w:r>
              <w:rPr>
                <w:rFonts w:hint="eastAsia" w:eastAsia="方正仿宋_GBK" w:cs="Times New Roman"/>
                <w:sz w:val="21"/>
                <w:szCs w:val="21"/>
                <w:lang w:val="en-US" w:eastAsia="zh-CN"/>
              </w:rPr>
              <w:t>5</w:t>
            </w:r>
            <w:r>
              <w:rPr>
                <w:rFonts w:hint="eastAsia" w:ascii="Times New Roman" w:hAnsi="Times New Roman" w:eastAsia="方正仿宋_GBK" w:cs="Times New Roman"/>
                <w:sz w:val="21"/>
                <w:szCs w:val="21"/>
              </w:rPr>
              <w:t>分；</w:t>
            </w:r>
          </w:p>
          <w:p w14:paraId="2E79ABD1">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eastAsia="方正仿宋_GBK" w:cs="Times New Roman"/>
                <w:sz w:val="21"/>
                <w:szCs w:val="21"/>
                <w:lang w:val="en-US" w:eastAsia="zh-CN"/>
              </w:rPr>
              <w:t>一般</w:t>
            </w:r>
            <w:r>
              <w:rPr>
                <w:rFonts w:hint="eastAsia" w:ascii="Times New Roman" w:hAnsi="Times New Roman" w:eastAsia="方正仿宋_GBK" w:cs="Times New Roman"/>
                <w:sz w:val="21"/>
                <w:szCs w:val="21"/>
              </w:rPr>
              <w:t>（各项因素基本齐全，标准一般，基本满足采购需求）得</w:t>
            </w:r>
            <w:r>
              <w:rPr>
                <w:rFonts w:hint="eastAsia" w:eastAsia="方正仿宋_GBK" w:cs="Times New Roman"/>
                <w:sz w:val="21"/>
                <w:szCs w:val="21"/>
                <w:lang w:val="en-US" w:eastAsia="zh-CN"/>
              </w:rPr>
              <w:t>10</w:t>
            </w:r>
            <w:r>
              <w:rPr>
                <w:rFonts w:hint="eastAsia" w:ascii="Times New Roman" w:hAnsi="Times New Roman" w:eastAsia="方正仿宋_GBK" w:cs="Times New Roman"/>
                <w:sz w:val="21"/>
                <w:szCs w:val="21"/>
              </w:rPr>
              <w:t>分；</w:t>
            </w:r>
          </w:p>
          <w:p w14:paraId="4F638025">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eastAsia" w:ascii="Times New Roman" w:hAnsi="Times New Roman" w:eastAsia="方正仿宋_GBK" w:cs="Times New Roman"/>
                <w:sz w:val="21"/>
                <w:szCs w:val="21"/>
                <w:lang w:eastAsia="zh-CN"/>
              </w:rPr>
            </w:pPr>
            <w:r>
              <w:rPr>
                <w:rFonts w:hint="default" w:ascii="Times New Roman" w:hAnsi="Times New Roman" w:eastAsia="方正仿宋_GBK" w:cs="Times New Roman"/>
                <w:sz w:val="21"/>
                <w:szCs w:val="21"/>
              </w:rPr>
              <w:t>未提供得0分</w:t>
            </w:r>
            <w:r>
              <w:rPr>
                <w:rFonts w:hint="eastAsia" w:eastAsia="方正仿宋_GBK" w:cs="Times New Roman"/>
                <w:sz w:val="21"/>
                <w:szCs w:val="21"/>
                <w:lang w:eastAsia="zh-CN"/>
              </w:rPr>
              <w:t>。</w:t>
            </w:r>
          </w:p>
        </w:tc>
        <w:tc>
          <w:tcPr>
            <w:tcW w:w="1976" w:type="dxa"/>
            <w:vMerge w:val="continue"/>
            <w:tcBorders>
              <w:left w:val="single" w:color="auto" w:sz="4" w:space="0"/>
              <w:right w:val="single" w:color="auto" w:sz="4" w:space="0"/>
            </w:tcBorders>
            <w:noWrap/>
            <w:vAlign w:val="center"/>
          </w:tcPr>
          <w:p w14:paraId="011164BA">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r>
      <w:tr w14:paraId="11D45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0" w:hRule="atLeast"/>
          <w:jc w:val="center"/>
        </w:trPr>
        <w:tc>
          <w:tcPr>
            <w:tcW w:w="844" w:type="dxa"/>
            <w:vMerge w:val="continue"/>
            <w:tcBorders>
              <w:left w:val="single" w:color="auto" w:sz="4" w:space="0"/>
              <w:right w:val="single" w:color="auto" w:sz="4" w:space="0"/>
            </w:tcBorders>
            <w:noWrap/>
            <w:vAlign w:val="center"/>
          </w:tcPr>
          <w:p w14:paraId="244F18A8">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1478" w:type="dxa"/>
            <w:vMerge w:val="continue"/>
            <w:tcBorders>
              <w:left w:val="single" w:color="auto" w:sz="4" w:space="0"/>
              <w:right w:val="single" w:color="auto" w:sz="4" w:space="0"/>
            </w:tcBorders>
            <w:noWrap/>
            <w:vAlign w:val="center"/>
          </w:tcPr>
          <w:p w14:paraId="39DD3E56">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762" w:type="dxa"/>
            <w:vMerge w:val="continue"/>
            <w:tcBorders>
              <w:left w:val="single" w:color="auto" w:sz="4" w:space="0"/>
              <w:right w:val="single" w:color="auto" w:sz="4" w:space="0"/>
            </w:tcBorders>
            <w:noWrap/>
            <w:vAlign w:val="center"/>
          </w:tcPr>
          <w:p w14:paraId="568816FD">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4675" w:type="dxa"/>
            <w:tcBorders>
              <w:top w:val="single" w:color="auto" w:sz="4" w:space="0"/>
              <w:left w:val="single" w:color="auto" w:sz="4" w:space="0"/>
              <w:right w:val="single" w:color="auto" w:sz="4" w:space="0"/>
            </w:tcBorders>
            <w:noWrap/>
            <w:vAlign w:val="center"/>
          </w:tcPr>
          <w:p w14:paraId="261E1EF0">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3.工作推进方式步骤和进度安排（10分</w:t>
            </w:r>
            <w:r>
              <w:rPr>
                <w:rFonts w:hint="default" w:ascii="Times New Roman" w:hAnsi="Times New Roman" w:eastAsia="方正仿宋_GBK" w:cs="Times New Roman"/>
                <w:sz w:val="21"/>
                <w:szCs w:val="21"/>
              </w:rPr>
              <w:t>）</w:t>
            </w:r>
          </w:p>
          <w:p w14:paraId="760314BF">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根据对供应商提出的方案是否符合要求</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是否具有针对性、专业性、时效性、可行性进行评审：</w:t>
            </w:r>
          </w:p>
          <w:p w14:paraId="4E132B27">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优</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工作推进方式合理，时间进度把控好，完全满足采购需求）得10分；</w:t>
            </w:r>
          </w:p>
          <w:p w14:paraId="5676B18B">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良</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工作推进方式较合理，时间进度把控较好，较满足采购需求）得</w:t>
            </w:r>
            <w:r>
              <w:rPr>
                <w:rFonts w:hint="default" w:ascii="Times New Roman" w:hAnsi="Times New Roman" w:eastAsia="方正仿宋_GBK" w:cs="Times New Roman"/>
                <w:sz w:val="21"/>
                <w:szCs w:val="21"/>
              </w:rPr>
              <w:t>7</w:t>
            </w:r>
            <w:r>
              <w:rPr>
                <w:rFonts w:hint="eastAsia" w:ascii="Times New Roman" w:hAnsi="Times New Roman" w:eastAsia="方正仿宋_GBK" w:cs="Times New Roman"/>
                <w:sz w:val="21"/>
                <w:szCs w:val="21"/>
              </w:rPr>
              <w:t>分；</w:t>
            </w:r>
          </w:p>
          <w:p w14:paraId="7E59196F">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中（工作推进</w:t>
            </w:r>
            <w:r>
              <w:rPr>
                <w:rFonts w:hint="default" w:ascii="Times New Roman" w:hAnsi="Times New Roman" w:eastAsia="方正仿宋_GBK" w:cs="Times New Roman"/>
                <w:sz w:val="21"/>
                <w:szCs w:val="21"/>
              </w:rPr>
              <w:t>方式</w:t>
            </w:r>
            <w:r>
              <w:rPr>
                <w:rFonts w:hint="eastAsia" w:ascii="Times New Roman" w:hAnsi="Times New Roman" w:eastAsia="方正仿宋_GBK" w:cs="Times New Roman"/>
                <w:sz w:val="21"/>
                <w:szCs w:val="21"/>
              </w:rPr>
              <w:t>一般，时间进度</w:t>
            </w:r>
            <w:r>
              <w:rPr>
                <w:rFonts w:hint="default" w:ascii="Times New Roman" w:hAnsi="Times New Roman" w:eastAsia="方正仿宋_GBK" w:cs="Times New Roman"/>
                <w:sz w:val="21"/>
                <w:szCs w:val="21"/>
              </w:rPr>
              <w:t>把控</w:t>
            </w:r>
            <w:r>
              <w:rPr>
                <w:rFonts w:hint="eastAsia" w:ascii="Times New Roman" w:hAnsi="Times New Roman" w:eastAsia="方正仿宋_GBK" w:cs="Times New Roman"/>
                <w:sz w:val="21"/>
                <w:szCs w:val="21"/>
              </w:rPr>
              <w:t>一般，基本满足采购需求）得</w:t>
            </w:r>
            <w:r>
              <w:rPr>
                <w:rFonts w:hint="default" w:ascii="Times New Roman" w:hAnsi="Times New Roman" w:eastAsia="方正仿宋_GBK" w:cs="Times New Roman"/>
                <w:sz w:val="21"/>
                <w:szCs w:val="21"/>
              </w:rPr>
              <w:t>4</w:t>
            </w:r>
            <w:r>
              <w:rPr>
                <w:rFonts w:hint="eastAsia" w:ascii="Times New Roman" w:hAnsi="Times New Roman" w:eastAsia="方正仿宋_GBK" w:cs="Times New Roman"/>
                <w:sz w:val="21"/>
                <w:szCs w:val="21"/>
              </w:rPr>
              <w:t>分；</w:t>
            </w:r>
          </w:p>
          <w:p w14:paraId="43E45155">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未提供得0分</w:t>
            </w:r>
            <w:r>
              <w:rPr>
                <w:rFonts w:hint="eastAsia" w:eastAsia="方正仿宋_GBK" w:cs="Times New Roman"/>
                <w:sz w:val="21"/>
                <w:szCs w:val="21"/>
                <w:lang w:eastAsia="zh-CN"/>
              </w:rPr>
              <w:t>。</w:t>
            </w:r>
          </w:p>
        </w:tc>
        <w:tc>
          <w:tcPr>
            <w:tcW w:w="1976" w:type="dxa"/>
            <w:vMerge w:val="continue"/>
            <w:tcBorders>
              <w:left w:val="single" w:color="auto" w:sz="4" w:space="0"/>
              <w:right w:val="single" w:color="auto" w:sz="4" w:space="0"/>
            </w:tcBorders>
            <w:noWrap/>
            <w:vAlign w:val="center"/>
          </w:tcPr>
          <w:p w14:paraId="2052A767">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r>
      <w:tr w14:paraId="15DE6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844" w:type="dxa"/>
            <w:vMerge w:val="continue"/>
            <w:tcBorders>
              <w:left w:val="single" w:color="auto" w:sz="4" w:space="0"/>
              <w:right w:val="single" w:color="auto" w:sz="4" w:space="0"/>
            </w:tcBorders>
            <w:noWrap/>
            <w:vAlign w:val="center"/>
          </w:tcPr>
          <w:p w14:paraId="4D8E76C7">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1478" w:type="dxa"/>
            <w:vMerge w:val="continue"/>
            <w:tcBorders>
              <w:left w:val="single" w:color="auto" w:sz="4" w:space="0"/>
              <w:right w:val="single" w:color="auto" w:sz="4" w:space="0"/>
            </w:tcBorders>
            <w:noWrap/>
            <w:vAlign w:val="center"/>
          </w:tcPr>
          <w:p w14:paraId="746AE1C6">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762" w:type="dxa"/>
            <w:vMerge w:val="continue"/>
            <w:tcBorders>
              <w:left w:val="single" w:color="auto" w:sz="4" w:space="0"/>
              <w:right w:val="single" w:color="auto" w:sz="4" w:space="0"/>
            </w:tcBorders>
            <w:noWrap/>
            <w:vAlign w:val="center"/>
          </w:tcPr>
          <w:p w14:paraId="2E313D85">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4675" w:type="dxa"/>
            <w:tcBorders>
              <w:top w:val="single" w:color="auto" w:sz="4" w:space="0"/>
              <w:left w:val="single" w:color="auto" w:sz="4" w:space="0"/>
              <w:right w:val="single" w:color="auto" w:sz="4" w:space="0"/>
            </w:tcBorders>
            <w:noWrap/>
            <w:vAlign w:val="center"/>
          </w:tcPr>
          <w:p w14:paraId="6BB4C5AE">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4.后勤、现场保障方案（10分）</w:t>
            </w:r>
          </w:p>
          <w:p w14:paraId="6482F3A8">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对供应商提供的后勤、现场保障方案的可行性、科学性、合理性</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项目实施要点和管理要点的准确性和完善性,各保障措施的合理性、可行性,现场发生各类突发事件、特殊状况的处理、保障等方面横向比较评审：</w:t>
            </w:r>
          </w:p>
          <w:p w14:paraId="521DFD62">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优（方案完善合理、针对性强，人员</w:t>
            </w:r>
            <w:r>
              <w:rPr>
                <w:rFonts w:hint="default" w:ascii="Times New Roman" w:hAnsi="Times New Roman" w:eastAsia="方正仿宋_GBK" w:cs="Times New Roman"/>
                <w:sz w:val="21"/>
                <w:szCs w:val="21"/>
              </w:rPr>
              <w:t>餐食安排等因素考虑细致周到、标准</w:t>
            </w:r>
            <w:r>
              <w:rPr>
                <w:rFonts w:hint="eastAsia" w:ascii="Times New Roman" w:hAnsi="Times New Roman" w:eastAsia="方正仿宋_GBK" w:cs="Times New Roman"/>
                <w:sz w:val="21"/>
                <w:szCs w:val="21"/>
              </w:rPr>
              <w:t>高）得</w:t>
            </w:r>
            <w:r>
              <w:rPr>
                <w:rFonts w:hint="default" w:ascii="Times New Roman" w:hAnsi="Times New Roman" w:eastAsia="方正仿宋_GBK" w:cs="Times New Roman"/>
                <w:sz w:val="21"/>
                <w:szCs w:val="21"/>
              </w:rPr>
              <w:t>1</w:t>
            </w:r>
            <w:r>
              <w:rPr>
                <w:rFonts w:hint="eastAsia" w:ascii="Times New Roman" w:hAnsi="Times New Roman" w:eastAsia="方正仿宋_GBK" w:cs="Times New Roman"/>
                <w:sz w:val="21"/>
                <w:szCs w:val="21"/>
              </w:rPr>
              <w:t>0分；</w:t>
            </w:r>
          </w:p>
          <w:p w14:paraId="7638038D">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良（方案较完善合理、针对性较强，人员</w:t>
            </w:r>
            <w:r>
              <w:rPr>
                <w:rFonts w:hint="default" w:ascii="Times New Roman" w:hAnsi="Times New Roman" w:eastAsia="方正仿宋_GBK" w:cs="Times New Roman"/>
                <w:sz w:val="21"/>
                <w:szCs w:val="21"/>
              </w:rPr>
              <w:t>餐食安排等因素考虑</w:t>
            </w:r>
            <w:r>
              <w:rPr>
                <w:rFonts w:hint="eastAsia" w:ascii="Times New Roman" w:hAnsi="Times New Roman" w:eastAsia="方正仿宋_GBK" w:cs="Times New Roman"/>
                <w:sz w:val="21"/>
                <w:szCs w:val="21"/>
              </w:rPr>
              <w:t>较</w:t>
            </w:r>
            <w:r>
              <w:rPr>
                <w:rFonts w:hint="default" w:ascii="Times New Roman" w:hAnsi="Times New Roman" w:eastAsia="方正仿宋_GBK" w:cs="Times New Roman"/>
                <w:sz w:val="21"/>
                <w:szCs w:val="21"/>
              </w:rPr>
              <w:t>细致周到、标准</w:t>
            </w:r>
            <w:r>
              <w:rPr>
                <w:rFonts w:hint="eastAsia" w:ascii="Times New Roman" w:hAnsi="Times New Roman" w:eastAsia="方正仿宋_GBK" w:cs="Times New Roman"/>
                <w:sz w:val="21"/>
                <w:szCs w:val="21"/>
              </w:rPr>
              <w:t>较高）得</w:t>
            </w:r>
            <w:r>
              <w:rPr>
                <w:rFonts w:hint="default" w:ascii="Times New Roman" w:hAnsi="Times New Roman" w:eastAsia="方正仿宋_GBK" w:cs="Times New Roman"/>
                <w:sz w:val="21"/>
                <w:szCs w:val="21"/>
              </w:rPr>
              <w:t>7</w:t>
            </w:r>
            <w:r>
              <w:rPr>
                <w:rFonts w:hint="eastAsia" w:ascii="Times New Roman" w:hAnsi="Times New Roman" w:eastAsia="方正仿宋_GBK" w:cs="Times New Roman"/>
                <w:sz w:val="21"/>
                <w:szCs w:val="21"/>
              </w:rPr>
              <w:t>分；</w:t>
            </w:r>
          </w:p>
          <w:p w14:paraId="421B70BE">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中（方案基本完善合理、有一定针对性，人员</w:t>
            </w:r>
            <w:r>
              <w:rPr>
                <w:rFonts w:hint="default" w:ascii="Times New Roman" w:hAnsi="Times New Roman" w:eastAsia="方正仿宋_GBK" w:cs="Times New Roman"/>
                <w:sz w:val="21"/>
                <w:szCs w:val="21"/>
              </w:rPr>
              <w:t>餐食安排等因素考虑</w:t>
            </w:r>
            <w:r>
              <w:rPr>
                <w:rFonts w:hint="eastAsia" w:ascii="Times New Roman" w:hAnsi="Times New Roman" w:eastAsia="方正仿宋_GBK" w:cs="Times New Roman"/>
                <w:sz w:val="21"/>
                <w:szCs w:val="21"/>
              </w:rPr>
              <w:t>较</w:t>
            </w:r>
            <w:r>
              <w:rPr>
                <w:rFonts w:hint="default" w:ascii="Times New Roman" w:hAnsi="Times New Roman" w:eastAsia="方正仿宋_GBK" w:cs="Times New Roman"/>
                <w:sz w:val="21"/>
                <w:szCs w:val="21"/>
              </w:rPr>
              <w:t>细致周到、标准</w:t>
            </w:r>
            <w:r>
              <w:rPr>
                <w:rFonts w:hint="eastAsia" w:ascii="Times New Roman" w:hAnsi="Times New Roman" w:eastAsia="方正仿宋_GBK" w:cs="Times New Roman"/>
                <w:sz w:val="21"/>
                <w:szCs w:val="21"/>
              </w:rPr>
              <w:t>一般）得</w:t>
            </w:r>
            <w:r>
              <w:rPr>
                <w:rFonts w:hint="default" w:ascii="Times New Roman" w:hAnsi="Times New Roman" w:eastAsia="方正仿宋_GBK" w:cs="Times New Roman"/>
                <w:sz w:val="21"/>
                <w:szCs w:val="21"/>
              </w:rPr>
              <w:t>4</w:t>
            </w:r>
            <w:r>
              <w:rPr>
                <w:rFonts w:hint="eastAsia" w:ascii="Times New Roman" w:hAnsi="Times New Roman" w:eastAsia="方正仿宋_GBK" w:cs="Times New Roman"/>
                <w:sz w:val="21"/>
                <w:szCs w:val="21"/>
              </w:rPr>
              <w:t>分；</w:t>
            </w:r>
          </w:p>
          <w:p w14:paraId="6B411B83">
            <w:pPr>
              <w:keepNext w:val="0"/>
              <w:keepLines/>
              <w:pageBreakBefore w:val="0"/>
              <w:widowControl w:val="0"/>
              <w:kinsoku/>
              <w:wordWrap/>
              <w:overflowPunct/>
              <w:topLinePunct w:val="0"/>
              <w:autoSpaceDE/>
              <w:autoSpaceDN/>
              <w:bidi w:val="0"/>
              <w:adjustRightInd/>
              <w:snapToGrid/>
              <w:spacing w:line="320" w:lineRule="exact"/>
              <w:ind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未提供得0分。</w:t>
            </w:r>
          </w:p>
        </w:tc>
        <w:tc>
          <w:tcPr>
            <w:tcW w:w="1976" w:type="dxa"/>
            <w:tcBorders>
              <w:left w:val="single" w:color="auto" w:sz="4" w:space="0"/>
              <w:right w:val="single" w:color="auto" w:sz="4" w:space="0"/>
            </w:tcBorders>
            <w:noWrap/>
            <w:vAlign w:val="center"/>
          </w:tcPr>
          <w:p w14:paraId="4EC4571A">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r>
      <w:tr w14:paraId="6CF72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4" w:type="dxa"/>
            <w:vMerge w:val="restart"/>
            <w:tcBorders>
              <w:left w:val="single" w:color="auto" w:sz="4" w:space="0"/>
              <w:right w:val="single" w:color="auto" w:sz="4" w:space="0"/>
            </w:tcBorders>
            <w:shd w:val="clear" w:color="auto" w:fill="auto"/>
            <w:noWrap/>
            <w:vAlign w:val="center"/>
          </w:tcPr>
          <w:p w14:paraId="7B5E9BC4">
            <w:pPr>
              <w:keepNext w:val="0"/>
              <w:keepLines/>
              <w:pageBreakBefore w:val="0"/>
              <w:widowControl w:val="0"/>
              <w:kinsoku/>
              <w:wordWrap/>
              <w:overflowPunct/>
              <w:topLinePunct w:val="0"/>
              <w:autoSpaceDE/>
              <w:autoSpaceDN/>
              <w:bidi w:val="0"/>
              <w:adjustRightInd/>
              <w:snapToGrid/>
              <w:spacing w:line="280" w:lineRule="exact"/>
              <w:ind w:left="0" w:leftChars="0" w:firstLine="0" w:firstLineChars="0"/>
              <w:jc w:val="center"/>
              <w:textAlignment w:val="auto"/>
              <w:rPr>
                <w:rFonts w:hint="default" w:ascii="Times New Roman" w:hAnsi="Times New Roman" w:eastAsia="方正仿宋_GBK" w:cs="Times New Roman"/>
                <w:kern w:val="2"/>
                <w:sz w:val="21"/>
                <w:szCs w:val="21"/>
                <w:lang w:val="en-US" w:eastAsia="zh-CN" w:bidi="ar-SA"/>
              </w:rPr>
            </w:pPr>
            <w:r>
              <w:rPr>
                <w:rFonts w:hint="default" w:ascii="Times New Roman" w:hAnsi="Times New Roman" w:eastAsia="方正仿宋_GBK" w:cs="Times New Roman"/>
                <w:sz w:val="21"/>
                <w:szCs w:val="21"/>
              </w:rPr>
              <w:t>3</w:t>
            </w:r>
          </w:p>
        </w:tc>
        <w:tc>
          <w:tcPr>
            <w:tcW w:w="1478" w:type="dxa"/>
            <w:vMerge w:val="restart"/>
            <w:tcBorders>
              <w:left w:val="single" w:color="auto" w:sz="4" w:space="0"/>
              <w:right w:val="single" w:color="auto" w:sz="4" w:space="0"/>
            </w:tcBorders>
            <w:shd w:val="clear" w:color="auto" w:fill="auto"/>
            <w:noWrap/>
            <w:vAlign w:val="center"/>
          </w:tcPr>
          <w:p w14:paraId="4D95C719">
            <w:pPr>
              <w:keepNext w:val="0"/>
              <w:keepLines/>
              <w:pageBreakBefore w:val="0"/>
              <w:widowControl w:val="0"/>
              <w:kinsoku/>
              <w:wordWrap/>
              <w:overflowPunct/>
              <w:topLinePunct w:val="0"/>
              <w:autoSpaceDE/>
              <w:autoSpaceDN/>
              <w:bidi w:val="0"/>
              <w:adjustRightInd/>
              <w:snapToGrid/>
              <w:spacing w:line="280" w:lineRule="exact"/>
              <w:ind w:left="0" w:firstLine="0" w:firstLineChars="0"/>
              <w:jc w:val="center"/>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商务部分</w:t>
            </w:r>
          </w:p>
          <w:p w14:paraId="33889A3A">
            <w:pPr>
              <w:keepNext w:val="0"/>
              <w:keepLines/>
              <w:pageBreakBefore w:val="0"/>
              <w:widowControl w:val="0"/>
              <w:kinsoku/>
              <w:wordWrap/>
              <w:overflowPunct/>
              <w:topLinePunct w:val="0"/>
              <w:autoSpaceDE/>
              <w:autoSpaceDN/>
              <w:bidi w:val="0"/>
              <w:adjustRightInd/>
              <w:snapToGrid/>
              <w:spacing w:line="280" w:lineRule="exact"/>
              <w:ind w:left="0" w:leftChars="0" w:firstLine="0" w:firstLineChars="0"/>
              <w:jc w:val="center"/>
              <w:textAlignment w:val="auto"/>
              <w:rPr>
                <w:rFonts w:hint="default" w:ascii="Times New Roman" w:hAnsi="Times New Roman" w:eastAsia="方正仿宋_GBK" w:cs="Times New Roman"/>
                <w:kern w:val="2"/>
                <w:sz w:val="21"/>
                <w:szCs w:val="21"/>
                <w:lang w:val="en-US" w:eastAsia="zh-CN" w:bidi="ar-SA"/>
              </w:rPr>
            </w:pPr>
            <w:r>
              <w:rPr>
                <w:rFonts w:hint="default" w:ascii="Times New Roman" w:hAnsi="Times New Roman" w:eastAsia="方正仿宋_GBK" w:cs="Times New Roman"/>
                <w:sz w:val="21"/>
                <w:szCs w:val="21"/>
              </w:rPr>
              <w:t>（</w:t>
            </w:r>
            <w:r>
              <w:rPr>
                <w:rFonts w:hint="default" w:eastAsia="方正仿宋_GBK" w:cs="Times New Roman"/>
                <w:sz w:val="21"/>
                <w:szCs w:val="21"/>
                <w:lang w:val="en-US"/>
              </w:rPr>
              <w:t>2</w:t>
            </w:r>
            <w:r>
              <w:rPr>
                <w:rFonts w:hint="eastAsia" w:eastAsia="方正仿宋_GBK" w:cs="Times New Roman"/>
                <w:sz w:val="21"/>
                <w:szCs w:val="21"/>
                <w:lang w:val="en-US" w:eastAsia="zh-CN"/>
              </w:rPr>
              <w:t>0</w:t>
            </w:r>
            <w:r>
              <w:rPr>
                <w:rFonts w:hint="default" w:ascii="Times New Roman" w:hAnsi="Times New Roman" w:eastAsia="方正仿宋_GBK" w:cs="Times New Roman"/>
                <w:sz w:val="21"/>
                <w:szCs w:val="21"/>
              </w:rPr>
              <w:t>%）</w:t>
            </w:r>
          </w:p>
        </w:tc>
        <w:tc>
          <w:tcPr>
            <w:tcW w:w="762" w:type="dxa"/>
            <w:vMerge w:val="restart"/>
            <w:tcBorders>
              <w:left w:val="single" w:color="auto" w:sz="4" w:space="0"/>
              <w:right w:val="single" w:color="auto" w:sz="4" w:space="0"/>
            </w:tcBorders>
            <w:shd w:val="clear" w:color="auto" w:fill="auto"/>
            <w:noWrap/>
            <w:vAlign w:val="center"/>
          </w:tcPr>
          <w:p w14:paraId="75AAC379">
            <w:pPr>
              <w:keepNext w:val="0"/>
              <w:keepLines/>
              <w:pageBreakBefore w:val="0"/>
              <w:widowControl w:val="0"/>
              <w:kinsoku/>
              <w:wordWrap/>
              <w:overflowPunct/>
              <w:topLinePunct w:val="0"/>
              <w:autoSpaceDE/>
              <w:autoSpaceDN/>
              <w:bidi w:val="0"/>
              <w:adjustRightInd/>
              <w:snapToGrid/>
              <w:spacing w:line="280" w:lineRule="exact"/>
              <w:ind w:left="0" w:leftChars="0" w:firstLine="0" w:firstLineChars="0"/>
              <w:jc w:val="center"/>
              <w:textAlignment w:val="auto"/>
              <w:rPr>
                <w:rFonts w:hint="default" w:ascii="Times New Roman" w:hAnsi="Times New Roman" w:eastAsia="方正仿宋_GBK" w:cs="Times New Roman"/>
                <w:kern w:val="2"/>
                <w:sz w:val="21"/>
                <w:szCs w:val="21"/>
                <w:lang w:val="en-US" w:eastAsia="zh-CN" w:bidi="ar-SA"/>
              </w:rPr>
            </w:pPr>
            <w:r>
              <w:rPr>
                <w:rFonts w:hint="default" w:eastAsia="方正仿宋_GBK" w:cs="Times New Roman"/>
                <w:sz w:val="21"/>
                <w:szCs w:val="21"/>
                <w:lang w:val="en-US" w:eastAsia="zh-CN"/>
              </w:rPr>
              <w:t>2</w:t>
            </w:r>
            <w:r>
              <w:rPr>
                <w:rFonts w:hint="eastAsia" w:eastAsia="方正仿宋_GBK" w:cs="Times New Roman"/>
                <w:sz w:val="21"/>
                <w:szCs w:val="21"/>
                <w:lang w:val="en-US" w:eastAsia="zh-CN"/>
              </w:rPr>
              <w:t>0</w:t>
            </w:r>
            <w:r>
              <w:rPr>
                <w:rFonts w:hint="default" w:ascii="Times New Roman" w:hAnsi="Times New Roman" w:eastAsia="方正仿宋_GBK" w:cs="Times New Roman"/>
                <w:sz w:val="21"/>
                <w:szCs w:val="21"/>
              </w:rPr>
              <w:t>分</w:t>
            </w:r>
          </w:p>
        </w:tc>
        <w:tc>
          <w:tcPr>
            <w:tcW w:w="4675" w:type="dxa"/>
            <w:tcBorders>
              <w:top w:val="single" w:color="auto" w:sz="4" w:space="0"/>
              <w:left w:val="single" w:color="auto" w:sz="4" w:space="0"/>
              <w:bottom w:val="single" w:color="auto" w:sz="4" w:space="0"/>
              <w:right w:val="single" w:color="auto" w:sz="4" w:space="0"/>
            </w:tcBorders>
            <w:noWrap/>
            <w:vAlign w:val="center"/>
          </w:tcPr>
          <w:p w14:paraId="3B080C72">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服务团队</w:t>
            </w:r>
            <w:r>
              <w:rPr>
                <w:rFonts w:hint="eastAsia" w:eastAsia="方正仿宋_GBK" w:cs="Times New Roman"/>
                <w:sz w:val="21"/>
                <w:szCs w:val="21"/>
                <w:lang w:val="en-US" w:eastAsia="zh-CN"/>
              </w:rPr>
              <w:t>人员</w:t>
            </w:r>
            <w:r>
              <w:rPr>
                <w:rFonts w:hint="default" w:ascii="Times New Roman" w:hAnsi="Times New Roman" w:eastAsia="方正仿宋_GBK" w:cs="Times New Roman"/>
                <w:sz w:val="21"/>
                <w:szCs w:val="21"/>
              </w:rPr>
              <w:t>配置（</w:t>
            </w:r>
            <w:r>
              <w:rPr>
                <w:rFonts w:hint="eastAsia" w:eastAsia="方正仿宋_GBK" w:cs="Times New Roman"/>
                <w:sz w:val="21"/>
                <w:szCs w:val="21"/>
                <w:lang w:val="en-US" w:eastAsia="zh-CN"/>
              </w:rPr>
              <w:t>1</w:t>
            </w:r>
            <w:r>
              <w:rPr>
                <w:rFonts w:hint="default" w:eastAsia="方正仿宋_GBK" w:cs="Times New Roman"/>
                <w:sz w:val="21"/>
                <w:szCs w:val="21"/>
                <w:lang w:val="en-US" w:eastAsia="zh-CN"/>
              </w:rPr>
              <w:t>0</w:t>
            </w:r>
            <w:r>
              <w:rPr>
                <w:rFonts w:hint="default" w:ascii="Times New Roman" w:hAnsi="Times New Roman" w:eastAsia="方正仿宋_GBK" w:cs="Times New Roman"/>
                <w:sz w:val="21"/>
                <w:szCs w:val="21"/>
              </w:rPr>
              <w:t>分）</w:t>
            </w:r>
          </w:p>
          <w:p w14:paraId="34C635D6">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根据拟派项目团队特别是主要经办人员的经验、资历</w:t>
            </w:r>
            <w:r>
              <w:rPr>
                <w:rFonts w:hint="eastAsia" w:eastAsia="方正仿宋_GBK" w:cs="Times New Roman"/>
                <w:sz w:val="21"/>
                <w:szCs w:val="21"/>
                <w:lang w:eastAsia="zh-CN"/>
              </w:rPr>
              <w:t>（</w:t>
            </w:r>
            <w:r>
              <w:rPr>
                <w:rFonts w:hint="default" w:ascii="Times New Roman" w:hAnsi="Times New Roman" w:eastAsia="方正仿宋_GBK" w:cs="Times New Roman"/>
                <w:sz w:val="21"/>
                <w:szCs w:val="21"/>
              </w:rPr>
              <w:t>履历、从业时间、类似项目经验等；项目团队组成和配置的合理性等</w:t>
            </w:r>
            <w:r>
              <w:rPr>
                <w:rFonts w:hint="eastAsia" w:eastAsia="方正仿宋_GBK" w:cs="Times New Roman"/>
                <w:sz w:val="21"/>
                <w:szCs w:val="21"/>
                <w:lang w:eastAsia="zh-CN"/>
              </w:rPr>
              <w:t>）</w:t>
            </w:r>
            <w:r>
              <w:rPr>
                <w:rFonts w:hint="default" w:ascii="Times New Roman" w:hAnsi="Times New Roman" w:eastAsia="方正仿宋_GBK" w:cs="Times New Roman"/>
                <w:sz w:val="21"/>
                <w:szCs w:val="21"/>
              </w:rPr>
              <w:t>等方面评审。</w:t>
            </w:r>
          </w:p>
          <w:p w14:paraId="719EDA98">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优（团队结构完整、职责分工明确、经验非常丰富、专业能力强，完全满足项目实施需求）得1</w:t>
            </w:r>
            <w:r>
              <w:rPr>
                <w:rFonts w:hint="default" w:eastAsia="方正仿宋_GBK" w:cs="Times New Roman"/>
                <w:sz w:val="21"/>
                <w:szCs w:val="21"/>
                <w:lang w:val="en-US"/>
              </w:rPr>
              <w:t>0</w:t>
            </w:r>
            <w:r>
              <w:rPr>
                <w:rFonts w:hint="default" w:ascii="Times New Roman" w:hAnsi="Times New Roman" w:eastAsia="方正仿宋_GBK" w:cs="Times New Roman"/>
                <w:sz w:val="21"/>
                <w:szCs w:val="21"/>
              </w:rPr>
              <w:t>分；</w:t>
            </w:r>
          </w:p>
          <w:p w14:paraId="440F019F">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良（团队结构完整、职责分工较明确、经验较丰富、专业能力较强，满足项目实施需求）得</w:t>
            </w:r>
            <w:r>
              <w:rPr>
                <w:rFonts w:hint="default" w:eastAsia="方正仿宋_GBK" w:cs="Times New Roman"/>
                <w:sz w:val="21"/>
                <w:szCs w:val="21"/>
                <w:lang w:val="en-US"/>
              </w:rPr>
              <w:t>5</w:t>
            </w:r>
            <w:r>
              <w:rPr>
                <w:rFonts w:hint="default" w:ascii="Times New Roman" w:hAnsi="Times New Roman" w:eastAsia="方正仿宋_GBK" w:cs="Times New Roman"/>
                <w:sz w:val="21"/>
                <w:szCs w:val="21"/>
              </w:rPr>
              <w:t>分；</w:t>
            </w:r>
          </w:p>
          <w:p w14:paraId="37DB44FC">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eastAsia" w:eastAsia="方正仿宋_GBK" w:cs="Times New Roman"/>
                <w:sz w:val="21"/>
                <w:szCs w:val="21"/>
                <w:lang w:val="en-US" w:eastAsia="zh-CN"/>
              </w:rPr>
              <w:t>一般</w:t>
            </w:r>
            <w:r>
              <w:rPr>
                <w:rFonts w:hint="default" w:ascii="Times New Roman" w:hAnsi="Times New Roman" w:eastAsia="方正仿宋_GBK" w:cs="Times New Roman"/>
                <w:sz w:val="21"/>
                <w:szCs w:val="21"/>
              </w:rPr>
              <w:t>（团队结构不全，经验不丰富，不满足项目实施需求）得</w:t>
            </w:r>
            <w:r>
              <w:rPr>
                <w:rFonts w:hint="eastAsia" w:eastAsia="方正仿宋_GBK" w:cs="Times New Roman"/>
                <w:sz w:val="21"/>
                <w:szCs w:val="21"/>
                <w:lang w:val="en-US" w:eastAsia="zh-CN"/>
              </w:rPr>
              <w:t>3</w:t>
            </w:r>
            <w:r>
              <w:rPr>
                <w:rFonts w:hint="default" w:ascii="Times New Roman" w:hAnsi="Times New Roman" w:eastAsia="方正仿宋_GBK" w:cs="Times New Roman"/>
                <w:sz w:val="21"/>
                <w:szCs w:val="21"/>
              </w:rPr>
              <w:t>分；</w:t>
            </w:r>
          </w:p>
          <w:p w14:paraId="0A754D22">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未提供得</w:t>
            </w:r>
            <w:r>
              <w:rPr>
                <w:rFonts w:hint="eastAsia" w:eastAsia="方正仿宋_GBK" w:cs="Times New Roman"/>
                <w:sz w:val="21"/>
                <w:szCs w:val="21"/>
                <w:lang w:val="en-US" w:eastAsia="zh-CN"/>
              </w:rPr>
              <w:t>0</w:t>
            </w:r>
            <w:r>
              <w:rPr>
                <w:rFonts w:hint="default" w:ascii="Times New Roman" w:hAnsi="Times New Roman" w:eastAsia="方正仿宋_GBK" w:cs="Times New Roman"/>
                <w:sz w:val="21"/>
                <w:szCs w:val="21"/>
              </w:rPr>
              <w:t>分</w:t>
            </w:r>
          </w:p>
        </w:tc>
        <w:tc>
          <w:tcPr>
            <w:tcW w:w="1976" w:type="dxa"/>
            <w:tcBorders>
              <w:top w:val="single" w:color="auto" w:sz="4" w:space="0"/>
              <w:left w:val="single" w:color="auto" w:sz="4" w:space="0"/>
              <w:bottom w:val="single" w:color="auto" w:sz="4" w:space="0"/>
              <w:right w:val="single" w:color="auto" w:sz="4" w:space="0"/>
            </w:tcBorders>
            <w:noWrap/>
            <w:vAlign w:val="center"/>
          </w:tcPr>
          <w:p w14:paraId="30A6C5D4">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default" w:ascii="Times New Roman" w:hAnsi="Times New Roman" w:eastAsia="方正仿宋_GBK" w:cs="Times New Roman"/>
                <w:sz w:val="21"/>
                <w:szCs w:val="21"/>
              </w:rPr>
              <w:t>提供供应商为其缴纳社保证明复印件并加盖供应商公章。</w:t>
            </w:r>
          </w:p>
        </w:tc>
      </w:tr>
      <w:tr w14:paraId="63729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4" w:type="dxa"/>
            <w:vMerge w:val="continue"/>
            <w:tcBorders>
              <w:left w:val="single" w:color="auto" w:sz="4" w:space="0"/>
              <w:right w:val="single" w:color="auto" w:sz="4" w:space="0"/>
            </w:tcBorders>
            <w:noWrap/>
            <w:vAlign w:val="center"/>
          </w:tcPr>
          <w:p w14:paraId="0C5A1979">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1478" w:type="dxa"/>
            <w:vMerge w:val="continue"/>
            <w:tcBorders>
              <w:left w:val="single" w:color="auto" w:sz="4" w:space="0"/>
              <w:right w:val="single" w:color="auto" w:sz="4" w:space="0"/>
            </w:tcBorders>
            <w:noWrap/>
            <w:vAlign w:val="center"/>
          </w:tcPr>
          <w:p w14:paraId="3E117D5F">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762" w:type="dxa"/>
            <w:vMerge w:val="continue"/>
            <w:tcBorders>
              <w:left w:val="single" w:color="auto" w:sz="4" w:space="0"/>
              <w:right w:val="single" w:color="auto" w:sz="4" w:space="0"/>
            </w:tcBorders>
            <w:noWrap/>
            <w:vAlign w:val="center"/>
          </w:tcPr>
          <w:p w14:paraId="66311629">
            <w:pPr>
              <w:keepNext w:val="0"/>
              <w:keepLines/>
              <w:pageBreakBefore w:val="0"/>
              <w:widowControl w:val="0"/>
              <w:kinsoku/>
              <w:wordWrap/>
              <w:overflowPunct/>
              <w:topLinePunct w:val="0"/>
              <w:autoSpaceDE/>
              <w:autoSpaceDN/>
              <w:bidi w:val="0"/>
              <w:adjustRightInd/>
              <w:snapToGrid/>
              <w:textAlignment w:val="auto"/>
              <w:rPr>
                <w:rFonts w:hint="default" w:ascii="Times New Roman" w:hAnsi="Times New Roman" w:eastAsia="方正仿宋_GBK" w:cs="Times New Roman"/>
              </w:rPr>
            </w:pPr>
          </w:p>
        </w:tc>
        <w:tc>
          <w:tcPr>
            <w:tcW w:w="46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71C47F">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rPr>
            </w:pPr>
            <w:r>
              <w:rPr>
                <w:rFonts w:hint="eastAsia" w:ascii="Times New Roman" w:hAnsi="Times New Roman" w:eastAsia="方正仿宋_GBK" w:cs="Times New Roman"/>
                <w:sz w:val="21"/>
                <w:szCs w:val="21"/>
              </w:rPr>
              <w:t>业绩</w:t>
            </w:r>
            <w:r>
              <w:rPr>
                <w:rFonts w:hint="eastAsia" w:eastAsia="方正仿宋_GBK" w:cs="Times New Roman"/>
                <w:sz w:val="21"/>
                <w:szCs w:val="21"/>
                <w:lang w:eastAsia="zh-CN"/>
              </w:rPr>
              <w:t>（</w:t>
            </w:r>
            <w:r>
              <w:rPr>
                <w:rFonts w:hint="eastAsia" w:eastAsia="方正仿宋_GBK" w:cs="Times New Roman"/>
                <w:sz w:val="21"/>
                <w:szCs w:val="21"/>
                <w:lang w:val="en-US" w:eastAsia="zh-CN"/>
              </w:rPr>
              <w:t>10分</w:t>
            </w:r>
            <w:r>
              <w:rPr>
                <w:rFonts w:hint="eastAsia" w:eastAsia="方正仿宋_GBK" w:cs="Times New Roman"/>
                <w:sz w:val="21"/>
                <w:szCs w:val="21"/>
                <w:lang w:eastAsia="zh-CN"/>
              </w:rPr>
              <w:t>）</w:t>
            </w:r>
            <w:r>
              <w:rPr>
                <w:rFonts w:hint="eastAsia" w:ascii="Times New Roman" w:hAnsi="Times New Roman" w:eastAsia="方正仿宋_GBK" w:cs="Times New Roman"/>
                <w:sz w:val="21"/>
                <w:szCs w:val="21"/>
              </w:rPr>
              <w:t>：</w:t>
            </w:r>
          </w:p>
          <w:p w14:paraId="19768E28">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lang w:val="en-US" w:eastAsia="zh-CN"/>
              </w:rPr>
            </w:pPr>
            <w:r>
              <w:rPr>
                <w:rFonts w:hint="eastAsia" w:ascii="Times New Roman" w:hAnsi="Times New Roman" w:eastAsia="方正仿宋_GBK" w:cs="Times New Roman"/>
                <w:sz w:val="21"/>
                <w:szCs w:val="21"/>
              </w:rPr>
              <w:t>自2020年1月1日起至响应文件递交截止时间</w:t>
            </w:r>
            <w:r>
              <w:rPr>
                <w:rFonts w:hint="default" w:ascii="Times New Roman" w:hAnsi="Times New Roman" w:eastAsia="方正仿宋_GBK" w:cs="Times New Roman"/>
                <w:sz w:val="21"/>
                <w:szCs w:val="21"/>
              </w:rPr>
              <w:t>，</w:t>
            </w:r>
            <w:r>
              <w:rPr>
                <w:rFonts w:hint="eastAsia" w:ascii="Times New Roman" w:hAnsi="Times New Roman" w:eastAsia="方正仿宋_GBK" w:cs="Times New Roman"/>
                <w:sz w:val="21"/>
                <w:szCs w:val="21"/>
              </w:rPr>
              <w:t>供应商承接过展会组展或</w:t>
            </w:r>
            <w:r>
              <w:rPr>
                <w:rFonts w:hint="eastAsia" w:eastAsia="方正仿宋_GBK" w:cs="Times New Roman"/>
                <w:sz w:val="21"/>
                <w:szCs w:val="21"/>
                <w:lang w:val="en-US" w:eastAsia="zh-CN"/>
              </w:rPr>
              <w:t>展览、</w:t>
            </w:r>
            <w:r>
              <w:rPr>
                <w:rFonts w:hint="eastAsia" w:ascii="Times New Roman" w:hAnsi="Times New Roman" w:eastAsia="方正仿宋_GBK" w:cs="Times New Roman"/>
                <w:sz w:val="21"/>
                <w:szCs w:val="21"/>
              </w:rPr>
              <w:t>会议活动项目，每一例得2分，最高得10分。</w:t>
            </w:r>
          </w:p>
        </w:tc>
        <w:tc>
          <w:tcPr>
            <w:tcW w:w="1976" w:type="dxa"/>
            <w:tcBorders>
              <w:top w:val="single" w:color="auto" w:sz="4" w:space="0"/>
              <w:left w:val="single" w:color="auto" w:sz="4" w:space="0"/>
              <w:bottom w:val="single" w:color="auto" w:sz="4" w:space="0"/>
              <w:right w:val="single" w:color="auto" w:sz="4" w:space="0"/>
            </w:tcBorders>
            <w:shd w:val="clear" w:color="auto" w:fill="auto"/>
            <w:noWrap/>
            <w:vAlign w:val="top"/>
          </w:tcPr>
          <w:p w14:paraId="7BDC093C">
            <w:pPr>
              <w:keepNext w:val="0"/>
              <w:keepLines/>
              <w:pageBreakBefore w:val="0"/>
              <w:widowControl w:val="0"/>
              <w:kinsoku/>
              <w:wordWrap/>
              <w:overflowPunct/>
              <w:topLinePunct w:val="0"/>
              <w:autoSpaceDE/>
              <w:autoSpaceDN/>
              <w:bidi w:val="0"/>
              <w:adjustRightInd/>
              <w:snapToGrid/>
              <w:spacing w:line="280" w:lineRule="exact"/>
              <w:ind w:left="0" w:firstLine="0" w:firstLineChars="0"/>
              <w:textAlignment w:val="auto"/>
              <w:rPr>
                <w:rFonts w:hint="default" w:ascii="Times New Roman" w:hAnsi="Times New Roman" w:eastAsia="方正仿宋_GBK" w:cs="Times New Roman"/>
                <w:sz w:val="21"/>
                <w:szCs w:val="21"/>
                <w:lang w:val="en-US" w:eastAsia="zh-CN"/>
              </w:rPr>
            </w:pPr>
            <w:r>
              <w:rPr>
                <w:rFonts w:hint="eastAsia" w:ascii="Times New Roman" w:hAnsi="Times New Roman" w:eastAsia="方正仿宋_GBK" w:cs="Times New Roman"/>
                <w:sz w:val="21"/>
                <w:szCs w:val="21"/>
              </w:rPr>
              <w:t>提供合同（协议）或服务书复印件并加盖供应商公章</w:t>
            </w:r>
          </w:p>
        </w:tc>
      </w:tr>
    </w:tbl>
    <w:p w14:paraId="21EE9ABB">
      <w:pPr>
        <w:snapToGrid w:val="0"/>
        <w:spacing w:line="500" w:lineRule="exact"/>
        <w:ind w:firstLine="465"/>
        <w:rPr>
          <w:rFonts w:hint="eastAsia" w:ascii="Times New Roman" w:hAnsi="Times New Roman" w:eastAsia="方正仿宋_GBK" w:cs="Times New Roman"/>
          <w:color w:val="000000"/>
          <w:sz w:val="24"/>
          <w:szCs w:val="24"/>
        </w:rPr>
      </w:pPr>
      <w:r>
        <w:rPr>
          <w:rFonts w:hint="eastAsia" w:ascii="Times New Roman" w:hAnsi="Times New Roman" w:eastAsia="方正仿宋_GBK" w:cs="Times New Roman"/>
          <w:color w:val="000000"/>
          <w:sz w:val="24"/>
          <w:szCs w:val="24"/>
        </w:rPr>
        <w:t>说明：</w:t>
      </w:r>
      <w:bookmarkEnd w:id="39"/>
      <w:bookmarkEnd w:id="40"/>
    </w:p>
    <w:p w14:paraId="3AEEF724">
      <w:pPr>
        <w:snapToGrid w:val="0"/>
        <w:spacing w:line="500" w:lineRule="exact"/>
        <w:ind w:firstLine="465"/>
        <w:rPr>
          <w:rFonts w:hint="eastAsia" w:ascii="Times New Roman" w:hAnsi="Times New Roman" w:eastAsia="方正仿宋_GBK" w:cs="Times New Roman"/>
          <w:color w:val="000000"/>
          <w:sz w:val="24"/>
          <w:szCs w:val="24"/>
        </w:rPr>
      </w:pPr>
      <w:bookmarkStart w:id="41" w:name="_Toc21473"/>
      <w:bookmarkStart w:id="42" w:name="_Toc31747"/>
      <w:r>
        <w:rPr>
          <w:rFonts w:hint="eastAsia" w:ascii="Times New Roman" w:hAnsi="Times New Roman" w:eastAsia="方正仿宋_GBK" w:cs="Times New Roman"/>
          <w:color w:val="000000"/>
          <w:sz w:val="24"/>
          <w:szCs w:val="24"/>
          <w:lang w:val="en-US" w:eastAsia="zh-CN"/>
        </w:rPr>
        <w:t>1、</w:t>
      </w:r>
      <w:r>
        <w:rPr>
          <w:rFonts w:hint="eastAsia" w:ascii="Times New Roman" w:hAnsi="Times New Roman" w:eastAsia="方正仿宋_GBK" w:cs="Times New Roman"/>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w:t>
      </w:r>
      <w:r>
        <w:rPr>
          <w:rFonts w:hint="eastAsia" w:ascii="Times New Roman" w:hAnsi="Times New Roman" w:eastAsia="方正仿宋_GBK" w:cs="Times New Roman"/>
          <w:color w:val="000000"/>
          <w:sz w:val="24"/>
          <w:szCs w:val="24"/>
          <w:lang w:val="en-US" w:eastAsia="zh-CN"/>
        </w:rPr>
        <w:t>评审</w:t>
      </w:r>
      <w:r>
        <w:rPr>
          <w:rFonts w:hint="eastAsia" w:ascii="Times New Roman" w:hAnsi="Times New Roman" w:eastAsia="方正仿宋_GBK" w:cs="Times New Roman"/>
          <w:color w:val="000000"/>
          <w:sz w:val="24"/>
          <w:szCs w:val="24"/>
        </w:rPr>
        <w:t>小组应当将其作为无效响应处理。</w:t>
      </w:r>
      <w:bookmarkEnd w:id="41"/>
      <w:bookmarkEnd w:id="42"/>
    </w:p>
    <w:p w14:paraId="2C830C37">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2、关于小微企业报价扣除比例说明</w:t>
      </w:r>
    </w:p>
    <w:p w14:paraId="7941F9F0">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（1）供应商为非联合体投标的，对小微企业给子10%的扣除，以扣除后的报价参与评审。</w:t>
      </w:r>
    </w:p>
    <w:p w14:paraId="5054F5D2">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（2）监狱企业、残疾人福利性单位视同小型、微型企业。</w:t>
      </w:r>
    </w:p>
    <w:p w14:paraId="1100427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三、无效响应</w:t>
      </w:r>
      <w:bookmarkEnd w:id="38"/>
    </w:p>
    <w:p w14:paraId="1459DDDD">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供应商发生以下条款情况之一者，视为无效响应，其响应文件将被拒绝：</w:t>
      </w:r>
    </w:p>
    <w:p w14:paraId="64B32C6D">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（一）供应商不符合规定的资格条件的；</w:t>
      </w:r>
    </w:p>
    <w:p w14:paraId="51E6A9DC">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（二）供应商的法定代表人（或其授权代表）或自然人未参加比选；</w:t>
      </w:r>
    </w:p>
    <w:p w14:paraId="49ECDFE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（三）供应商所提交的响应文件不按“第六篇响应文件编制要求”要求签署或盖章；</w:t>
      </w:r>
    </w:p>
    <w:p w14:paraId="3DDB3617">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（四）供应商的最后报价超过采购预算或最高限价的；</w:t>
      </w:r>
    </w:p>
    <w:p w14:paraId="0630EA03">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（五）法定代表人为同一个人的两个及两个以上法人，母公司、全资子公司及其控股公司，在同一包采购中同时参与比选；</w:t>
      </w:r>
    </w:p>
    <w:p w14:paraId="0C40BE8D">
      <w:pPr>
        <w:snapToGrid w:val="0"/>
        <w:spacing w:line="500" w:lineRule="exact"/>
        <w:ind w:firstLine="465"/>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（六）单位负责人为同一人或者存在直接控股、管理关系的不同供应商，参加同一合同项下的政府采购活动的；</w:t>
      </w:r>
    </w:p>
    <w:p w14:paraId="04A33C9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（七）为采购项目提供整体设计、规范编制或者项目管理、监理、检测等服务的供应商，再参加该采购项目的其他采购活动；</w:t>
      </w:r>
    </w:p>
    <w:p w14:paraId="03B16516">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（八）供应商比选有效期不满足竞争性比选文件要求的；</w:t>
      </w:r>
    </w:p>
    <w:p w14:paraId="1121C11C">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（九）供应商响应文件内容有与国家现行法律法规相违背的内容，或附有采购人无法接受的条件；</w:t>
      </w:r>
    </w:p>
    <w:p w14:paraId="7102038B">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（十）供应商以联合体形式参与比选的；</w:t>
      </w:r>
    </w:p>
    <w:p w14:paraId="2C835F99">
      <w:pPr>
        <w:snapToGrid w:val="0"/>
        <w:spacing w:line="500" w:lineRule="exact"/>
        <w:ind w:firstLine="46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（十一）供应商进行合同分包的；</w:t>
      </w:r>
    </w:p>
    <w:p w14:paraId="1261F687">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6"/>
      <w:bookmarkEnd w:id="37"/>
    </w:p>
    <w:p w14:paraId="42A357D9">
      <w:pPr>
        <w:spacing w:line="500" w:lineRule="exact"/>
        <w:ind w:firstLine="482" w:firstLineChars="200"/>
        <w:rPr>
          <w:rFonts w:hint="default" w:ascii="Times New Roman" w:hAnsi="Times New Roman" w:eastAsia="方正仿宋_GBK" w:cs="Times New Roman"/>
          <w:b/>
          <w:color w:val="000000"/>
          <w:sz w:val="24"/>
        </w:rPr>
      </w:pPr>
      <w:r>
        <w:rPr>
          <w:rFonts w:hint="default" w:ascii="Times New Roman" w:hAnsi="Times New Roman" w:eastAsia="方正仿宋_GBK" w:cs="Times New Roman"/>
          <w:b/>
          <w:color w:val="000000"/>
          <w:sz w:val="24"/>
        </w:rPr>
        <w:t>四、采购终止</w:t>
      </w:r>
    </w:p>
    <w:p w14:paraId="237AC54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出现下列情形之一的，采购人或者采购代理机构应当终止竞争性比选采购活动，发布项目终止公告并说明原因，重新开展采购活动：</w:t>
      </w:r>
    </w:p>
    <w:p w14:paraId="1BC1131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（一）因情况变化，不再符合规定的竞争性比选采购方式适用情形的；</w:t>
      </w:r>
    </w:p>
    <w:p w14:paraId="6E06E04B">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（二）出现影响采购公正的违法、违规行为的；</w:t>
      </w:r>
    </w:p>
    <w:p w14:paraId="52F19537">
      <w:pPr>
        <w:spacing w:line="500" w:lineRule="exact"/>
        <w:rPr>
          <w:rFonts w:hint="default" w:ascii="Times New Roman" w:hAnsi="Times New Roman" w:eastAsia="方正仿宋_GBK" w:cs="Times New Roman"/>
          <w:color w:val="000000"/>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14:paraId="67F6DD13">
      <w:pPr>
        <w:spacing w:line="500" w:lineRule="exact"/>
        <w:jc w:val="center"/>
        <w:outlineLvl w:val="0"/>
        <w:rPr>
          <w:rFonts w:hint="default" w:ascii="Times New Roman" w:hAnsi="Times New Roman" w:eastAsia="方正仿宋_GBK" w:cs="Times New Roman"/>
          <w:color w:val="000000"/>
          <w:sz w:val="36"/>
          <w:szCs w:val="30"/>
        </w:rPr>
      </w:pPr>
      <w:bookmarkStart w:id="43" w:name="_Toc10525"/>
      <w:bookmarkStart w:id="44" w:name="_Toc12462"/>
      <w:bookmarkStart w:id="45" w:name="_Toc102227313"/>
      <w:r>
        <w:rPr>
          <w:rFonts w:hint="default" w:ascii="Times New Roman" w:hAnsi="Times New Roman" w:eastAsia="方正仿宋_GBK" w:cs="Times New Roman"/>
          <w:color w:val="000000"/>
          <w:sz w:val="36"/>
          <w:szCs w:val="30"/>
        </w:rPr>
        <w:t>第五篇  供应商须知</w:t>
      </w:r>
      <w:bookmarkEnd w:id="43"/>
      <w:bookmarkEnd w:id="44"/>
      <w:bookmarkEnd w:id="45"/>
    </w:p>
    <w:p w14:paraId="33453D49">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6" w:name="_Toc342913389"/>
      <w:bookmarkStart w:id="47" w:name="_Toc30343"/>
      <w:r>
        <w:rPr>
          <w:rFonts w:hint="default" w:ascii="Times New Roman" w:hAnsi="Times New Roman" w:eastAsia="方正仿宋_GBK" w:cs="Times New Roman"/>
          <w:color w:val="000000"/>
          <w:sz w:val="24"/>
        </w:rPr>
        <w:t>一、比选费用</w:t>
      </w:r>
      <w:bookmarkEnd w:id="46"/>
      <w:bookmarkEnd w:id="47"/>
    </w:p>
    <w:p w14:paraId="31AD5ED7">
      <w:pPr>
        <w:pStyle w:val="247"/>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参与比选的供应商应承担其编制响应文件与递交响应文件所涉及的一切费用，不论比选结果如何，采购人在任何情况下无义务也无责任承担这些费用。</w:t>
      </w:r>
    </w:p>
    <w:p w14:paraId="779FE07C">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8" w:name="_Toc892"/>
      <w:bookmarkStart w:id="49" w:name="_Toc342913391"/>
      <w:r>
        <w:rPr>
          <w:rFonts w:hint="default" w:ascii="Times New Roman" w:hAnsi="Times New Roman" w:eastAsia="方正仿宋_GBK" w:cs="Times New Roman"/>
          <w:color w:val="000000"/>
          <w:sz w:val="24"/>
        </w:rPr>
        <w:t>二、竞争性比选文件</w:t>
      </w:r>
      <w:bookmarkEnd w:id="48"/>
      <w:bookmarkEnd w:id="49"/>
    </w:p>
    <w:p w14:paraId="2D733C1D">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（一）竞争性比选文件由比选邀请书、项目服务需求、项目商务需求、资格审查及评审办法、供应商须知</w:t>
      </w:r>
      <w:r>
        <w:rPr>
          <w:rFonts w:hint="default" w:ascii="Times New Roman" w:hAnsi="Times New Roman" w:eastAsia="方正仿宋_GBK" w:cs="Times New Roman"/>
          <w:b/>
          <w:color w:val="000000"/>
          <w:sz w:val="24"/>
          <w:szCs w:val="24"/>
        </w:rPr>
        <w:t>、</w:t>
      </w:r>
      <w:r>
        <w:rPr>
          <w:rFonts w:hint="default" w:ascii="Times New Roman" w:hAnsi="Times New Roman" w:eastAsia="方正仿宋_GBK" w:cs="Times New Roman"/>
          <w:color w:val="000000"/>
          <w:sz w:val="24"/>
          <w:szCs w:val="24"/>
        </w:rPr>
        <w:t>响应文件编制要求等六部分组成。</w:t>
      </w:r>
    </w:p>
    <w:p w14:paraId="3D6FA271">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（二）采购人所作的一切有效的书面通知、修改及补充，都是竞争性比选文件不可分割的部分。</w:t>
      </w:r>
    </w:p>
    <w:p w14:paraId="1AEE244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（三）竞争性比选文件的解释</w:t>
      </w:r>
    </w:p>
    <w:p w14:paraId="6FB51A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如对竞争性比选文件有疑问，必须以书面形式在提交响应文件截止时间3个工作日前向采购人要求澄清，采购人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0" w:name="_Toc318159349"/>
      <w:bookmarkStart w:id="51" w:name="_Toc318159160"/>
      <w:bookmarkStart w:id="52" w:name="_Toc318159780"/>
      <w:bookmarkStart w:id="53" w:name="_Toc318166429"/>
    </w:p>
    <w:p w14:paraId="2E8845DD">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（四）评审的依据为竞争性比选文件和响应文件（含有效的书面承诺）。比选小组判断响应文件对竞争性比选文件的响应，仅基于响应文件本身而不靠外部证据。</w:t>
      </w:r>
    </w:p>
    <w:bookmarkEnd w:id="50"/>
    <w:bookmarkEnd w:id="51"/>
    <w:bookmarkEnd w:id="52"/>
    <w:bookmarkEnd w:id="53"/>
    <w:p w14:paraId="2CB36A7D">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4" w:name="_Toc342913392"/>
      <w:bookmarkStart w:id="55" w:name="_Toc102227318"/>
      <w:bookmarkStart w:id="56" w:name="_Toc9295"/>
      <w:bookmarkStart w:id="57" w:name="_Toc179714297"/>
      <w:r>
        <w:rPr>
          <w:rFonts w:hint="default" w:ascii="Times New Roman" w:hAnsi="Times New Roman" w:eastAsia="方正仿宋_GBK" w:cs="Times New Roman"/>
          <w:color w:val="000000"/>
          <w:sz w:val="24"/>
        </w:rPr>
        <w:t>三、比选要求</w:t>
      </w:r>
      <w:bookmarkEnd w:id="54"/>
      <w:bookmarkEnd w:id="55"/>
      <w:bookmarkEnd w:id="56"/>
      <w:bookmarkEnd w:id="57"/>
    </w:p>
    <w:p w14:paraId="00B79672">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（一）响应文件</w:t>
      </w:r>
    </w:p>
    <w:p w14:paraId="0AA44442">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14:paraId="2F6AE15F">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2.响应文件组成</w:t>
      </w:r>
    </w:p>
    <w:p w14:paraId="5EE6D599">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14:paraId="69D5464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（二）联合体</w:t>
      </w:r>
    </w:p>
    <w:p w14:paraId="69111967">
      <w:pPr>
        <w:spacing w:line="500" w:lineRule="exact"/>
        <w:ind w:firstLine="482"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color w:val="000000"/>
          <w:sz w:val="24"/>
          <w:szCs w:val="24"/>
        </w:rPr>
        <w:t>本项目不接受联合体参与比选</w:t>
      </w:r>
      <w:r>
        <w:rPr>
          <w:rFonts w:hint="default" w:ascii="Times New Roman" w:hAnsi="Times New Roman" w:eastAsia="方正仿宋_GBK" w:cs="Times New Roman"/>
          <w:color w:val="000000"/>
          <w:sz w:val="24"/>
          <w:szCs w:val="24"/>
        </w:rPr>
        <w:t>。</w:t>
      </w:r>
    </w:p>
    <w:p w14:paraId="5797E8D6">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（三）比选有效期：响应文件及有关承诺文件有效期为提交响应文件截止时间起90天。</w:t>
      </w:r>
    </w:p>
    <w:p w14:paraId="0BFE9000">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（四）修正错误</w:t>
      </w:r>
    </w:p>
    <w:p w14:paraId="40A4244D">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1.若供应商所递交的响应文件或最后报价中的价格出现大写金额和小写金额不一致的错误，以大写金额修正为准。</w:t>
      </w:r>
    </w:p>
    <w:p w14:paraId="1F49265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14:paraId="49E8712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（五）提交响应文件的份数和签署</w:t>
      </w:r>
    </w:p>
    <w:p w14:paraId="35380F1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1.响应文件一式</w:t>
      </w:r>
      <w:r>
        <w:rPr>
          <w:rFonts w:hint="eastAsia" w:eastAsia="方正仿宋_GBK" w:cs="Times New Roman"/>
          <w:color w:val="000000"/>
          <w:sz w:val="24"/>
          <w:szCs w:val="24"/>
          <w:lang w:val="en-US" w:eastAsia="zh-CN"/>
        </w:rPr>
        <w:t>肆</w:t>
      </w:r>
      <w:r>
        <w:rPr>
          <w:rFonts w:hint="default" w:ascii="Times New Roman" w:hAnsi="Times New Roman" w:eastAsia="方正仿宋_GBK" w:cs="Times New Roman"/>
          <w:color w:val="000000"/>
          <w:sz w:val="24"/>
          <w:szCs w:val="24"/>
        </w:rPr>
        <w:t>份，其中正本一份，副本</w:t>
      </w:r>
      <w:r>
        <w:rPr>
          <w:rFonts w:hint="eastAsia" w:eastAsia="方正仿宋_GBK" w:cs="Times New Roman"/>
          <w:color w:val="000000"/>
          <w:sz w:val="24"/>
          <w:szCs w:val="24"/>
          <w:lang w:val="en-US" w:eastAsia="zh-CN"/>
        </w:rPr>
        <w:t>二</w:t>
      </w:r>
      <w:r>
        <w:rPr>
          <w:rFonts w:hint="default" w:ascii="Times New Roman" w:hAnsi="Times New Roman" w:eastAsia="方正仿宋_GBK" w:cs="Times New Roman"/>
          <w:color w:val="000000"/>
          <w:sz w:val="24"/>
          <w:szCs w:val="24"/>
        </w:rPr>
        <w:t>份，电子文档一份（电子文档内容应与纸质文件正本一致，如不一致以纸质文件正本为准。推荐采用光盘或U盘为电子文档载体）；副本可为正本的复印件，应与正本一致，如出现不一致情况以正本为准。</w:t>
      </w:r>
    </w:p>
    <w:p w14:paraId="4A3CEA2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w:t>
      </w:r>
      <w:r>
        <w:rPr>
          <w:rFonts w:hint="default" w:ascii="Times New Roman" w:hAnsi="Times New Roman" w:eastAsia="方正仿宋_GBK" w:cs="Times New Roman"/>
          <w:color w:val="000000"/>
          <w:sz w:val="24"/>
        </w:rPr>
        <w:t>响应文件按竞争性比选文件“第六篇响应文件编制要求”要求签署或盖章。</w:t>
      </w:r>
    </w:p>
    <w:p w14:paraId="596C3F9B">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（六）响应文件的递交</w:t>
      </w:r>
    </w:p>
    <w:p w14:paraId="55A31151">
      <w:pPr>
        <w:pStyle w:val="33"/>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14:paraId="7E17A4F2">
      <w:pPr>
        <w:pStyle w:val="33"/>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响应文件的装订形式为胶装。</w:t>
      </w:r>
    </w:p>
    <w:p w14:paraId="017D755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（七）供应商参与人员</w:t>
      </w:r>
    </w:p>
    <w:p w14:paraId="62B582F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各个供应商应当派1-2名代表参与比选，至少1人应为法定代表人（或其授权代表）或自然人（供应商为自然人）。</w:t>
      </w:r>
    </w:p>
    <w:p w14:paraId="2E056252">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8" w:name="_Toc301"/>
      <w:r>
        <w:rPr>
          <w:rFonts w:hint="default" w:ascii="Times New Roman" w:hAnsi="Times New Roman" w:eastAsia="方正仿宋_GBK" w:cs="Times New Roman"/>
          <w:color w:val="000000"/>
          <w:sz w:val="24"/>
        </w:rPr>
        <w:t>四、成交供应商的确认和变更</w:t>
      </w:r>
      <w:bookmarkEnd w:id="58"/>
    </w:p>
    <w:p w14:paraId="718F257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（一）成交供应商的确认</w:t>
      </w:r>
    </w:p>
    <w:p w14:paraId="04A42D95">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应当在收到评审报告后5个工作日内，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0CED707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（二）成交供应商的变更</w:t>
      </w:r>
    </w:p>
    <w:p w14:paraId="36C5C389">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成交供应商拒绝与采购人签订合同的，采购人可以按照评标报告推荐的成交候选供应商顺序，确定排名下一位的候选人为成交供应商，也可以重新开展政府采购活动。</w:t>
      </w:r>
    </w:p>
    <w:p w14:paraId="1B45454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9" w:name="_Toc10558"/>
      <w:bookmarkStart w:id="60" w:name="_Toc342913395"/>
      <w:bookmarkStart w:id="61" w:name="_Toc102227321"/>
      <w:r>
        <w:rPr>
          <w:rFonts w:hint="default" w:ascii="Times New Roman" w:hAnsi="Times New Roman" w:eastAsia="方正仿宋_GBK" w:cs="Times New Roman"/>
          <w:color w:val="000000"/>
          <w:sz w:val="24"/>
        </w:rPr>
        <w:t>五、成交通知</w:t>
      </w:r>
      <w:bookmarkEnd w:id="59"/>
      <w:bookmarkEnd w:id="60"/>
      <w:bookmarkEnd w:id="61"/>
    </w:p>
    <w:p w14:paraId="2025E55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（一）成交供应商确定后，采购人将在</w:t>
      </w:r>
      <w:r>
        <w:rPr>
          <w:rFonts w:hint="default" w:ascii="Times New Roman" w:hAnsi="Times New Roman" w:eastAsia="方正仿宋_GBK" w:cs="Times New Roman"/>
          <w:color w:val="000000"/>
          <w:sz w:val="24"/>
        </w:rPr>
        <w:t>“重庆市商务委员会”（https://sww.cq.gov.cn/）</w:t>
      </w:r>
      <w:r>
        <w:rPr>
          <w:rFonts w:hint="default" w:ascii="Times New Roman" w:hAnsi="Times New Roman" w:eastAsia="方正仿宋_GBK" w:cs="Times New Roman"/>
          <w:color w:val="000000"/>
          <w:sz w:val="24"/>
          <w:szCs w:val="24"/>
        </w:rPr>
        <w:t>网站上发布成交结果公告。</w:t>
      </w:r>
    </w:p>
    <w:p w14:paraId="2EA08B9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（二）结果公告发出同时，采购人以书面形式发出《成交通知书》。《成交通知书》一经发出即发生法律效力。</w:t>
      </w:r>
    </w:p>
    <w:p w14:paraId="19A2FF0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（三）《成交通知书》将作为签订合同的依据。</w:t>
      </w:r>
    </w:p>
    <w:p w14:paraId="4283D075">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2" w:name="_Toc16127"/>
      <w:r>
        <w:rPr>
          <w:rFonts w:hint="default" w:ascii="Times New Roman" w:hAnsi="Times New Roman" w:eastAsia="方正仿宋_GBK" w:cs="Times New Roman"/>
          <w:color w:val="000000"/>
          <w:sz w:val="24"/>
        </w:rPr>
        <w:t>六、关于质疑和投诉</w:t>
      </w:r>
      <w:bookmarkEnd w:id="62"/>
    </w:p>
    <w:p w14:paraId="5A2FD658">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（一）质疑</w:t>
      </w:r>
    </w:p>
    <w:p w14:paraId="5AE057F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供应商认为采购文件、采购过程和成交结果使自己的权益受到伤害的，可向采购人以书面形式提出质疑。</w:t>
      </w:r>
    </w:p>
    <w:p w14:paraId="71FD20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提出质疑的应当是参与所质疑项目采购活动的供应商。 </w:t>
      </w:r>
    </w:p>
    <w:p w14:paraId="4D9DA185">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1.质疑时限、内容</w:t>
      </w:r>
    </w:p>
    <w:p w14:paraId="45C91FAA">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供应商认为采购文件、采购过程、成交结果使自己的权益受到损害的，可以在知道或者应知其权益受到损害之日起7个工作日内，以书面形式向采购人提出质疑。</w:t>
      </w:r>
    </w:p>
    <w:p w14:paraId="3292EAB7">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1.2供应商提出质疑应当提交质疑函和必要的证明材料，质疑函应当包括下列内容：</w:t>
      </w:r>
    </w:p>
    <w:p w14:paraId="198724E4">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1.2.1供应商的姓名或者名称、地址、邮编、联系人及联系电话；</w:t>
      </w:r>
    </w:p>
    <w:p w14:paraId="1CBA5C94">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1.2.2质疑项目的名称、项目编号以及采购执行编号；</w:t>
      </w:r>
    </w:p>
    <w:p w14:paraId="216D40A2">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1.2.3具体、明确的质疑事项和与质疑事项相关的请求；</w:t>
      </w:r>
    </w:p>
    <w:p w14:paraId="04DB265A">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1.2.4事实依据；</w:t>
      </w:r>
    </w:p>
    <w:p w14:paraId="2DF8B7A8">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1.2.5必要的法律依据；</w:t>
      </w:r>
    </w:p>
    <w:p w14:paraId="7C277569">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1.2.6提出质疑的日期；</w:t>
      </w:r>
    </w:p>
    <w:p w14:paraId="53244550">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1.2.7营业执照（或事业单位法人证书，或个体工商户营业执照或有效的自然人身份证明）复印件；</w:t>
      </w:r>
    </w:p>
    <w:p w14:paraId="330851EF">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1.2.8法定代表人授权委托书原件、法定代表人身份证复印件和其授权代表的身份证复印件（供应商为自然人的提供自然人身份证复印件）；</w:t>
      </w:r>
    </w:p>
    <w:p w14:paraId="0883F825">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1.3供应商为自然人的，质疑函应当由本人签字；供应商为法人或者其他组织的，质疑函应当由法定代表人、主要负责人，或者其授权代表签字或者盖章，并加盖公章。</w:t>
      </w:r>
    </w:p>
    <w:p w14:paraId="22FBC407">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2.质疑答复</w:t>
      </w:r>
    </w:p>
    <w:p w14:paraId="27D12EB9">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采购人应当在收到供应商的书面质疑后七个工作日内作出答复，并以书面形式通知质疑供应商和其他有关供应商。</w:t>
      </w:r>
    </w:p>
    <w:p w14:paraId="161C18A8">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3" w:name="_Toc13842"/>
      <w:r>
        <w:rPr>
          <w:rFonts w:hint="default" w:ascii="Times New Roman" w:hAnsi="Times New Roman" w:eastAsia="方正仿宋_GBK" w:cs="Times New Roman"/>
          <w:color w:val="000000"/>
          <w:sz w:val="24"/>
        </w:rPr>
        <w:t>七、采购代理服务费</w:t>
      </w:r>
      <w:bookmarkEnd w:id="63"/>
    </w:p>
    <w:p w14:paraId="4536732D">
      <w:pPr>
        <w:pStyle w:val="247"/>
        <w:spacing w:line="500" w:lineRule="exact"/>
        <w:ind w:firstLine="480" w:firstLineChars="200"/>
        <w:rPr>
          <w:rFonts w:hint="default" w:ascii="Times New Roman" w:hAnsi="Times New Roman" w:eastAsia="方正仿宋_GBK" w:cs="Times New Roman"/>
          <w:color w:val="000000"/>
          <w:sz w:val="24"/>
          <w:szCs w:val="22"/>
        </w:rPr>
      </w:pPr>
      <w:bookmarkStart w:id="64" w:name="_Toc102227322"/>
      <w:bookmarkStart w:id="65" w:name="_Toc16933"/>
      <w:bookmarkStart w:id="66" w:name="_Toc342913396"/>
      <w:bookmarkStart w:id="67" w:name="_Toc12789059"/>
      <w:bookmarkStart w:id="68" w:name="_Toc11641055"/>
      <w:r>
        <w:rPr>
          <w:rFonts w:hint="default" w:ascii="Times New Roman" w:hAnsi="Times New Roman" w:eastAsia="方正仿宋_GBK" w:cs="Times New Roman"/>
          <w:color w:val="000000"/>
          <w:sz w:val="24"/>
          <w:szCs w:val="22"/>
        </w:rPr>
        <w:t>（1）供应商成交后向采购代理机构缴纳采购代理服务费，采购代理服务费的收取标准按照以下标准执行。</w:t>
      </w:r>
    </w:p>
    <w:tbl>
      <w:tblPr>
        <w:tblStyle w:val="5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4BD44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810" w:type="dxa"/>
            <w:tcBorders>
              <w:tl2br w:val="single" w:color="auto" w:sz="4" w:space="0"/>
            </w:tcBorders>
          </w:tcPr>
          <w:p w14:paraId="3122F36F">
            <w:pPr>
              <w:spacing w:line="500" w:lineRule="exact"/>
              <w:ind w:firstLine="1680" w:firstLineChars="800"/>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1"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fPvmD1gAAAAgBAAAPAAAAAAAA&#10;AAEAIAAAACIAAABkcnMvZG93bnJldi54bWxQSwECFAAUAAAACACHTuJA0//2pNsBAADOAwAADgAA&#10;AAAAAAABACAAAAAlAQAAZHJzL2Uyb0RvYy54bWxQSwUGAAAAAAYABgBZAQAAcgUAAAAA&#10;">
                      <v:fill on="f" focussize="0,0"/>
                      <v:stroke color="#000000" joinstyle="round"/>
                      <v:imagedata o:title=""/>
                      <o:lock v:ext="edit" aspectratio="f"/>
                    </v:line>
                  </w:pict>
                </mc:Fallback>
              </mc:AlternateContent>
            </w:r>
            <w:r>
              <w:rPr>
                <w:rFonts w:hint="default" w:ascii="Times New Roman" w:hAnsi="Times New Roman" w:eastAsia="方正仿宋_GBK" w:cs="Times New Roman"/>
                <w:color w:val="000000"/>
                <w:sz w:val="21"/>
                <w:szCs w:val="21"/>
              </w:rPr>
              <w:t>采购类型</w:t>
            </w:r>
          </w:p>
          <w:p w14:paraId="14C68508">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成交金额（万元）</w:t>
            </w:r>
          </w:p>
        </w:tc>
        <w:tc>
          <w:tcPr>
            <w:tcW w:w="2273" w:type="dxa"/>
            <w:vAlign w:val="center"/>
          </w:tcPr>
          <w:p w14:paraId="399015ED">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货物采购</w:t>
            </w:r>
          </w:p>
        </w:tc>
        <w:tc>
          <w:tcPr>
            <w:tcW w:w="2273" w:type="dxa"/>
            <w:vAlign w:val="center"/>
          </w:tcPr>
          <w:p w14:paraId="1CABE555">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服务采购</w:t>
            </w:r>
          </w:p>
        </w:tc>
        <w:tc>
          <w:tcPr>
            <w:tcW w:w="2272" w:type="dxa"/>
            <w:vAlign w:val="center"/>
          </w:tcPr>
          <w:p w14:paraId="1BC6EEB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工程采购</w:t>
            </w:r>
          </w:p>
        </w:tc>
      </w:tr>
      <w:tr w14:paraId="1E185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810" w:type="dxa"/>
            <w:vAlign w:val="center"/>
          </w:tcPr>
          <w:p w14:paraId="44E2F368">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100以下</w:t>
            </w:r>
          </w:p>
        </w:tc>
        <w:tc>
          <w:tcPr>
            <w:tcW w:w="2273" w:type="dxa"/>
            <w:vAlign w:val="center"/>
          </w:tcPr>
          <w:p w14:paraId="56520F34">
            <w:pPr>
              <w:spacing w:line="500" w:lineRule="exact"/>
              <w:ind w:right="420"/>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   1.5%</w:t>
            </w:r>
          </w:p>
        </w:tc>
        <w:tc>
          <w:tcPr>
            <w:tcW w:w="2273" w:type="dxa"/>
            <w:vAlign w:val="center"/>
          </w:tcPr>
          <w:p w14:paraId="4D27472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1.5%</w:t>
            </w:r>
          </w:p>
        </w:tc>
        <w:tc>
          <w:tcPr>
            <w:tcW w:w="2272" w:type="dxa"/>
            <w:vAlign w:val="center"/>
          </w:tcPr>
          <w:p w14:paraId="5D25520E">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w:t>
            </w:r>
          </w:p>
        </w:tc>
      </w:tr>
      <w:tr w14:paraId="756D4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810" w:type="dxa"/>
            <w:vAlign w:val="center"/>
          </w:tcPr>
          <w:p w14:paraId="65338F8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100-500</w:t>
            </w:r>
          </w:p>
        </w:tc>
        <w:tc>
          <w:tcPr>
            <w:tcW w:w="2273" w:type="dxa"/>
            <w:vAlign w:val="center"/>
          </w:tcPr>
          <w:p w14:paraId="4BBFE1E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1.1%</w:t>
            </w:r>
          </w:p>
        </w:tc>
        <w:tc>
          <w:tcPr>
            <w:tcW w:w="2273" w:type="dxa"/>
            <w:vAlign w:val="center"/>
          </w:tcPr>
          <w:p w14:paraId="5BEFE82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2" w:type="dxa"/>
            <w:vAlign w:val="center"/>
          </w:tcPr>
          <w:p w14:paraId="0F6046D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0.7%</w:t>
            </w:r>
          </w:p>
        </w:tc>
      </w:tr>
      <w:tr w14:paraId="7E5C8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628B1E1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500-1000</w:t>
            </w:r>
          </w:p>
        </w:tc>
        <w:tc>
          <w:tcPr>
            <w:tcW w:w="2273" w:type="dxa"/>
            <w:vAlign w:val="center"/>
          </w:tcPr>
          <w:p w14:paraId="65B030B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3" w:type="dxa"/>
            <w:vAlign w:val="center"/>
          </w:tcPr>
          <w:p w14:paraId="08C311F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0.45%</w:t>
            </w:r>
          </w:p>
        </w:tc>
        <w:tc>
          <w:tcPr>
            <w:tcW w:w="2272" w:type="dxa"/>
            <w:vAlign w:val="center"/>
          </w:tcPr>
          <w:p w14:paraId="18F2DFE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0.55%</w:t>
            </w:r>
          </w:p>
        </w:tc>
      </w:tr>
      <w:tr w14:paraId="4AD88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18A574A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1000-5000</w:t>
            </w:r>
          </w:p>
        </w:tc>
        <w:tc>
          <w:tcPr>
            <w:tcW w:w="2273" w:type="dxa"/>
            <w:vAlign w:val="center"/>
          </w:tcPr>
          <w:p w14:paraId="71DEC51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w:t>
            </w:r>
          </w:p>
        </w:tc>
        <w:tc>
          <w:tcPr>
            <w:tcW w:w="2273" w:type="dxa"/>
            <w:vAlign w:val="center"/>
          </w:tcPr>
          <w:p w14:paraId="1548293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2" w:type="dxa"/>
            <w:vAlign w:val="center"/>
          </w:tcPr>
          <w:p w14:paraId="36B1818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0.35%</w:t>
            </w:r>
          </w:p>
        </w:tc>
      </w:tr>
      <w:tr w14:paraId="2EFEF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2810" w:type="dxa"/>
            <w:vAlign w:val="center"/>
          </w:tcPr>
          <w:p w14:paraId="1520E54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5000-10000</w:t>
            </w:r>
          </w:p>
        </w:tc>
        <w:tc>
          <w:tcPr>
            <w:tcW w:w="2273" w:type="dxa"/>
            <w:vAlign w:val="center"/>
          </w:tcPr>
          <w:p w14:paraId="4A9B445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3" w:type="dxa"/>
            <w:vAlign w:val="center"/>
          </w:tcPr>
          <w:p w14:paraId="32C0D9C7">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0.1%</w:t>
            </w:r>
          </w:p>
        </w:tc>
        <w:tc>
          <w:tcPr>
            <w:tcW w:w="2272" w:type="dxa"/>
            <w:vAlign w:val="center"/>
          </w:tcPr>
          <w:p w14:paraId="77FD385C">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w:t>
            </w:r>
          </w:p>
        </w:tc>
      </w:tr>
      <w:tr w14:paraId="6FF6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810" w:type="dxa"/>
            <w:vAlign w:val="center"/>
          </w:tcPr>
          <w:p w14:paraId="374D96EB">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10000-100000</w:t>
            </w:r>
          </w:p>
        </w:tc>
        <w:tc>
          <w:tcPr>
            <w:tcW w:w="2273" w:type="dxa"/>
            <w:vAlign w:val="center"/>
          </w:tcPr>
          <w:p w14:paraId="05C062B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3" w:type="dxa"/>
            <w:vAlign w:val="center"/>
          </w:tcPr>
          <w:p w14:paraId="63D4B84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2" w:type="dxa"/>
            <w:vAlign w:val="center"/>
          </w:tcPr>
          <w:p w14:paraId="5724D05E">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r>
      <w:tr w14:paraId="4EC4B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10" w:type="dxa"/>
            <w:vAlign w:val="center"/>
          </w:tcPr>
          <w:p w14:paraId="5001EC5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100000以上</w:t>
            </w:r>
          </w:p>
        </w:tc>
        <w:tc>
          <w:tcPr>
            <w:tcW w:w="2273" w:type="dxa"/>
            <w:vAlign w:val="center"/>
          </w:tcPr>
          <w:p w14:paraId="30A4F478">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3" w:type="dxa"/>
            <w:vAlign w:val="center"/>
          </w:tcPr>
          <w:p w14:paraId="02A2C829">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2" w:type="dxa"/>
            <w:vAlign w:val="center"/>
          </w:tcPr>
          <w:p w14:paraId="4D7AFBC7">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r>
    </w:tbl>
    <w:p w14:paraId="3A2A8DA6">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注：采购代理服务收费按差额定率累进法计算。（不足5000元，按5000收取。）</w:t>
      </w:r>
    </w:p>
    <w:p w14:paraId="1011B3EA">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（2）服务费以现金、转账支付。</w:t>
      </w:r>
    </w:p>
    <w:p w14:paraId="74D4F119">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（3）成交供应商如未按上述规定缴付采购代理服务费，其保证金将不予退还。</w:t>
      </w:r>
    </w:p>
    <w:p w14:paraId="3EA23EA6">
      <w:pPr>
        <w:spacing w:line="500" w:lineRule="exact"/>
        <w:ind w:firstLine="482"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bCs/>
          <w:color w:val="000000"/>
          <w:sz w:val="24"/>
          <w:szCs w:val="24"/>
        </w:rPr>
        <w:t>（二）采购代理服务费缴纳账号：</w:t>
      </w:r>
    </w:p>
    <w:p w14:paraId="6C8C3A8E">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户  名：四川国际招标有限责任公司重庆分公司</w:t>
      </w:r>
    </w:p>
    <w:p w14:paraId="2B35FE49">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开户行：招商银行重庆分行冉家坝支行</w:t>
      </w:r>
    </w:p>
    <w:p w14:paraId="30451DC4">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账  号：123910264110501</w:t>
      </w:r>
    </w:p>
    <w:p w14:paraId="2993F9BB">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八、签订</w:t>
      </w:r>
      <w:bookmarkEnd w:id="64"/>
      <w:r>
        <w:rPr>
          <w:rFonts w:hint="default" w:ascii="Times New Roman" w:hAnsi="Times New Roman" w:eastAsia="方正仿宋_GBK" w:cs="Times New Roman"/>
          <w:color w:val="000000"/>
          <w:sz w:val="24"/>
        </w:rPr>
        <w:t>合同</w:t>
      </w:r>
      <w:bookmarkEnd w:id="65"/>
      <w:bookmarkEnd w:id="66"/>
    </w:p>
    <w:p w14:paraId="20CC8CFE">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14:paraId="0F770A19">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（二）竞争性比选文件、供应商的响应文件及澄清文件等，均为签订合同的依据。</w:t>
      </w:r>
    </w:p>
    <w:p w14:paraId="43C137AD">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（三）如成交供应商放弃成交项目或在签订合同时擅自改变成交状态的，采购人将按照相关法律法规处理。</w:t>
      </w:r>
    </w:p>
    <w:p w14:paraId="6589F775">
      <w:pPr>
        <w:spacing w:line="360" w:lineRule="auto"/>
        <w:jc w:val="center"/>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 w:val="36"/>
          <w:szCs w:val="30"/>
        </w:rPr>
        <w:br w:type="page"/>
      </w:r>
      <w:bookmarkEnd w:id="67"/>
      <w:bookmarkEnd w:id="68"/>
      <w:bookmarkStart w:id="69" w:name="_Hlt41879464"/>
      <w:bookmarkEnd w:id="69"/>
      <w:bookmarkStart w:id="70" w:name="_Toc12461"/>
      <w:bookmarkStart w:id="71" w:name="_Toc27931"/>
      <w:r>
        <w:rPr>
          <w:rFonts w:hint="default" w:ascii="Times New Roman" w:hAnsi="Times New Roman" w:eastAsia="方正仿宋_GBK" w:cs="Times New Roman"/>
          <w:color w:val="000000"/>
          <w:sz w:val="36"/>
          <w:szCs w:val="30"/>
        </w:rPr>
        <w:t>第六篇  响应文件编制要求</w:t>
      </w:r>
      <w:bookmarkEnd w:id="70"/>
      <w:bookmarkEnd w:id="71"/>
    </w:p>
    <w:p w14:paraId="57B9348B">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一、经济部分</w:t>
      </w:r>
    </w:p>
    <w:p w14:paraId="111D646A">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14:paraId="1D9DEEB0">
      <w:pPr>
        <w:spacing w:line="400" w:lineRule="exact"/>
        <w:ind w:firstLine="480" w:firstLineChars="200"/>
        <w:rPr>
          <w:rFonts w:hint="default" w:ascii="Times New Roman" w:hAnsi="Times New Roman" w:eastAsia="方正仿宋_GBK" w:cs="Times New Roman"/>
          <w:color w:val="000000"/>
          <w:sz w:val="24"/>
          <w:szCs w:val="24"/>
        </w:rPr>
      </w:pPr>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二</w:t>
      </w:r>
      <w:r>
        <w:rPr>
          <w:rFonts w:hint="eastAsia"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rPr>
        <w:t>意大利、罗马尼亚出国人员费用报价表</w:t>
      </w:r>
    </w:p>
    <w:p w14:paraId="46F1C41B">
      <w:pPr>
        <w:spacing w:line="400" w:lineRule="exact"/>
        <w:ind w:firstLine="480" w:firstLineChars="200"/>
        <w:rPr>
          <w:rFonts w:hint="default" w:ascii="Times New Roman" w:hAnsi="Times New Roman" w:eastAsia="方正仿宋_GBK" w:cs="Times New Roman"/>
          <w:color w:val="000000"/>
          <w:sz w:val="24"/>
          <w:szCs w:val="24"/>
        </w:rPr>
      </w:pPr>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三</w:t>
      </w:r>
      <w:r>
        <w:rPr>
          <w:rFonts w:hint="eastAsia"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rPr>
        <w:t>公务活动费用报价表</w:t>
      </w:r>
    </w:p>
    <w:p w14:paraId="0C6CA2E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二、服务部分</w:t>
      </w:r>
    </w:p>
    <w:p w14:paraId="4A5E8346">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（一）服务响应偏离表</w:t>
      </w:r>
    </w:p>
    <w:p w14:paraId="536C68D4">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（二）服务方案</w:t>
      </w:r>
    </w:p>
    <w:p w14:paraId="32CF5DA3">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三、商务部分</w:t>
      </w:r>
    </w:p>
    <w:p w14:paraId="628C6816">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14:paraId="6167B77D">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（二）商务要求响应情况</w:t>
      </w:r>
    </w:p>
    <w:p w14:paraId="6D842B7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四、资格条件及其他</w:t>
      </w:r>
    </w:p>
    <w:p w14:paraId="5E09FBC7">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14:paraId="3DCEC5BD">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（二）法定代表人身份证明书（格式）</w:t>
      </w:r>
    </w:p>
    <w:p w14:paraId="3E4FEFBE">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（三）法定代表人授权委托书（格式）</w:t>
      </w:r>
    </w:p>
    <w:p w14:paraId="622FF04A">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（四）基本资格条件承诺函（格式）</w:t>
      </w:r>
    </w:p>
    <w:p w14:paraId="3B20059A">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（五）特定资格条件证书或证明文件（如果有）</w:t>
      </w:r>
    </w:p>
    <w:p w14:paraId="4A3F9757">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（六）其他（如果有）</w:t>
      </w:r>
    </w:p>
    <w:p w14:paraId="6671C65F">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五、其他资料</w:t>
      </w:r>
    </w:p>
    <w:p w14:paraId="26792E61">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14:paraId="03DCDD4E">
      <w:pPr>
        <w:snapToGrid w:val="0"/>
        <w:spacing w:line="400" w:lineRule="exact"/>
        <w:ind w:firstLine="480" w:firstLineChars="200"/>
        <w:rPr>
          <w:rFonts w:hint="default" w:ascii="Times New Roman" w:hAnsi="Times New Roman" w:eastAsia="方正仿宋_GBK" w:cs="Times New Roman"/>
          <w:color w:val="000000"/>
          <w:sz w:val="24"/>
          <w:szCs w:val="24"/>
        </w:rPr>
        <w:sectPr>
          <w:footerReference r:id="rId10" w:type="default"/>
          <w:footerReference r:id="rId11"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（二）其他与项目有关的资料</w:t>
      </w:r>
    </w:p>
    <w:p w14:paraId="7B67A37F">
      <w:pPr>
        <w:adjustRightInd w:val="0"/>
        <w:snapToGrid w:val="0"/>
        <w:spacing w:line="400" w:lineRule="exact"/>
        <w:ind w:firstLine="480" w:firstLineChars="200"/>
        <w:rPr>
          <w:rFonts w:hint="default" w:ascii="Times New Roman" w:hAnsi="Times New Roman" w:eastAsia="方正仿宋_GBK" w:cs="Times New Roman"/>
          <w:color w:val="000000"/>
          <w:sz w:val="24"/>
        </w:rPr>
      </w:pPr>
      <w:bookmarkStart w:id="72" w:name="_Toc342913419"/>
      <w:bookmarkStart w:id="73" w:name="_Toc313008356"/>
      <w:bookmarkStart w:id="74" w:name="_Toc7828"/>
      <w:bookmarkStart w:id="75" w:name="_Toc313888360"/>
      <w:bookmarkStart w:id="76" w:name="_Toc12789073"/>
      <w:bookmarkStart w:id="77" w:name="_Toc283382454"/>
      <w:r>
        <w:rPr>
          <w:rFonts w:hint="default" w:ascii="Times New Roman" w:hAnsi="Times New Roman" w:eastAsia="方正仿宋_GBK" w:cs="Times New Roman"/>
          <w:color w:val="000000"/>
          <w:sz w:val="24"/>
        </w:rPr>
        <w:t>一、经济部分</w:t>
      </w:r>
      <w:bookmarkEnd w:id="72"/>
      <w:bookmarkEnd w:id="73"/>
      <w:bookmarkEnd w:id="74"/>
      <w:bookmarkEnd w:id="75"/>
    </w:p>
    <w:bookmarkEnd w:id="76"/>
    <w:bookmarkEnd w:id="77"/>
    <w:p w14:paraId="5F14D05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14:paraId="78FCE3AE">
      <w:pPr>
        <w:jc w:val="center"/>
        <w:rPr>
          <w:rFonts w:hint="default" w:ascii="Times New Roman" w:hAnsi="Times New Roman" w:eastAsia="方正仿宋_GBK" w:cs="Times New Roman"/>
          <w:b/>
          <w:color w:val="000000"/>
          <w:szCs w:val="28"/>
        </w:rPr>
      </w:pPr>
      <w:r>
        <w:rPr>
          <w:rFonts w:hint="default" w:ascii="Times New Roman" w:hAnsi="Times New Roman" w:eastAsia="方正仿宋_GBK" w:cs="Times New Roman"/>
          <w:b/>
          <w:color w:val="000000"/>
          <w:szCs w:val="28"/>
        </w:rPr>
        <w:t>竞争性比选报价函</w:t>
      </w:r>
    </w:p>
    <w:p w14:paraId="6DD562F1">
      <w:pPr>
        <w:tabs>
          <w:tab w:val="left" w:pos="6300"/>
        </w:tabs>
        <w:snapToGrid w:val="0"/>
        <w:spacing w:line="312" w:lineRule="auto"/>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（采购人名称）</w:t>
      </w:r>
      <w:r>
        <w:rPr>
          <w:rFonts w:hint="default" w:ascii="Times New Roman" w:hAnsi="Times New Roman" w:eastAsia="方正仿宋_GBK" w:cs="Times New Roman"/>
          <w:color w:val="000000"/>
          <w:sz w:val="24"/>
          <w:szCs w:val="24"/>
        </w:rPr>
        <w:t>：</w:t>
      </w:r>
    </w:p>
    <w:p w14:paraId="521E61EA">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我方收到____________________________（比选项目名称）的竞争性比选文件，经详细研究，决定参加该项目的比选。</w:t>
      </w:r>
    </w:p>
    <w:p w14:paraId="7A4901EE">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1.愿意按照竞争性比选文件中的一切要求，提供本项目的服务，比选报价为人民币大写：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元整；人民币小写：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w:t>
      </w:r>
    </w:p>
    <w:p w14:paraId="107BFE2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2.我方现提交的响应文件为：响应文件正本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份，副本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份，电子文档</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w:t>
      </w:r>
    </w:p>
    <w:p w14:paraId="421DAFC3">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3.我方承诺：本次比选的有效期为提交响应文件截止时间起90天。</w:t>
      </w:r>
    </w:p>
    <w:p w14:paraId="2CB2B2B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4.我方完全理解和接受贵方竞争性比选文件的一切规定和要求及评审办法。</w:t>
      </w:r>
    </w:p>
    <w:p w14:paraId="7BD4AFEB">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5.在整个竞争性比选过程中，我方若有违规行为，接受按照《中华人民共和国政府采购法》和《竞争性比选文件》之规定给予惩罚。</w:t>
      </w:r>
    </w:p>
    <w:p w14:paraId="4CBA2099">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6.我方若成为成交供应商，将按照最终比选结果签订合同，并且严格履行合同义务。本承诺函将成为合同不可分割的一部分，与合同具有同等的法律效力。</w:t>
      </w:r>
    </w:p>
    <w:p w14:paraId="025E8845">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7.</w:t>
      </w:r>
      <w:r>
        <w:rPr>
          <w:rFonts w:hint="default" w:ascii="Times New Roman" w:hAnsi="Times New Roman" w:eastAsia="方正仿宋_GBK" w:cs="Times New Roman"/>
          <w:color w:val="000000"/>
          <w:sz w:val="24"/>
          <w:szCs w:val="28"/>
        </w:rPr>
        <w:t>我方未</w:t>
      </w:r>
      <w:r>
        <w:rPr>
          <w:rFonts w:hint="default" w:ascii="Times New Roman" w:hAnsi="Times New Roman" w:eastAsia="方正仿宋_GBK" w:cs="Times New Roman"/>
          <w:color w:val="000000"/>
          <w:sz w:val="24"/>
          <w:szCs w:val="24"/>
        </w:rPr>
        <w:t>为采购项目提供整体设计、规范编制、项目管理等服务。</w:t>
      </w:r>
    </w:p>
    <w:p w14:paraId="5A36E1D5">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14:paraId="476FD851">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14:paraId="2A820073">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供应商（公章）或自然人签署：</w:t>
      </w:r>
    </w:p>
    <w:p w14:paraId="5977AA26">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地址：  </w:t>
      </w:r>
    </w:p>
    <w:p w14:paraId="6E06A8CD">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电话：                                             传真：</w:t>
      </w:r>
    </w:p>
    <w:p w14:paraId="06141802">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网址：                                             邮编：</w:t>
      </w:r>
    </w:p>
    <w:p w14:paraId="7AD7AC17">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联系人：</w:t>
      </w:r>
    </w:p>
    <w:p w14:paraId="738E8762">
      <w:pPr>
        <w:snapToGrid w:val="0"/>
        <w:spacing w:line="312" w:lineRule="auto"/>
        <w:ind w:firstLine="480" w:firstLineChars="200"/>
        <w:rPr>
          <w:rFonts w:hint="default" w:ascii="Times New Roman" w:hAnsi="Times New Roman" w:eastAsia="方正仿宋_GBK" w:cs="Times New Roman"/>
          <w:color w:val="000000"/>
          <w:sz w:val="24"/>
          <w:szCs w:val="24"/>
          <w:bdr w:val="single" w:color="auto" w:sz="4" w:space="0"/>
        </w:rPr>
        <w:sectPr>
          <w:footerReference r:id="rId12" w:type="default"/>
          <w:footerReference r:id="rId13"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 xml:space="preserve">                                                  年   月   日</w:t>
      </w:r>
    </w:p>
    <w:p w14:paraId="6D85A646">
      <w:pPr>
        <w:spacing w:line="400" w:lineRule="exact"/>
        <w:ind w:firstLine="480" w:firstLineChars="200"/>
        <w:rPr>
          <w:rFonts w:hint="default" w:ascii="Times New Roman" w:hAnsi="Times New Roman" w:eastAsia="方正仿宋_GBK" w:cs="Times New Roman"/>
          <w:color w:val="000000"/>
          <w:sz w:val="24"/>
          <w:szCs w:val="24"/>
        </w:rPr>
      </w:pPr>
      <w:bookmarkStart w:id="78" w:name="_Toc313888361"/>
      <w:bookmarkStart w:id="79" w:name="_Toc313008357"/>
      <w:bookmarkStart w:id="80" w:name="_Toc20478"/>
      <w:bookmarkStart w:id="81" w:name="_Toc342913420"/>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二</w:t>
      </w:r>
      <w:r>
        <w:rPr>
          <w:rFonts w:hint="eastAsia"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rPr>
        <w:t>意大利、罗马尼亚出国人员费用报价表</w:t>
      </w:r>
    </w:p>
    <w:p w14:paraId="11E46D31">
      <w:pPr>
        <w:jc w:val="center"/>
        <w:rPr>
          <w:rFonts w:hint="default" w:ascii="Times New Roman" w:hAnsi="Times New Roman" w:eastAsia="方正仿宋_GBK" w:cs="Times New Roman"/>
          <w:b/>
          <w:color w:val="000000"/>
          <w:szCs w:val="28"/>
        </w:rPr>
      </w:pPr>
    </w:p>
    <w:p w14:paraId="2ED8E84B">
      <w:pPr>
        <w:jc w:val="center"/>
        <w:rPr>
          <w:rFonts w:hint="default" w:ascii="Times New Roman" w:hAnsi="Times New Roman" w:eastAsia="方正仿宋_GBK" w:cs="Times New Roman"/>
          <w:b/>
          <w:color w:val="000000"/>
          <w:szCs w:val="28"/>
        </w:rPr>
      </w:pPr>
      <w:r>
        <w:rPr>
          <w:rFonts w:hint="default" w:ascii="Times New Roman" w:hAnsi="Times New Roman" w:eastAsia="方正仿宋_GBK" w:cs="Times New Roman"/>
          <w:b/>
          <w:color w:val="000000"/>
          <w:szCs w:val="28"/>
        </w:rPr>
        <w:t>意大利、罗马尼亚出国人员费用报价表</w:t>
      </w:r>
    </w:p>
    <w:p w14:paraId="69C8CEE2">
      <w:pPr>
        <w:spacing w:line="520" w:lineRule="exact"/>
        <w:jc w:val="left"/>
        <w:rPr>
          <w:rFonts w:hint="eastAsia" w:ascii="Times New Roman" w:hAnsi="Times New Roman" w:eastAsia="方正仿宋_GBK" w:cs="方正仿宋_GB2312"/>
          <w:sz w:val="24"/>
          <w:szCs w:val="24"/>
        </w:rPr>
      </w:pPr>
      <w:r>
        <w:rPr>
          <w:rFonts w:hint="eastAsia" w:ascii="Times New Roman" w:hAnsi="Times New Roman" w:eastAsia="方正仿宋_GBK" w:cs="方正仿宋_GB2312"/>
          <w:sz w:val="24"/>
          <w:szCs w:val="24"/>
        </w:rPr>
        <w:t>汇率折算：1美元=7.</w:t>
      </w:r>
      <w:r>
        <w:rPr>
          <w:rFonts w:hint="eastAsia" w:ascii="Times New Roman" w:hAnsi="Times New Roman" w:eastAsia="方正仿宋_GBK" w:cs="方正仿宋_GB2312"/>
          <w:sz w:val="24"/>
          <w:szCs w:val="24"/>
          <w:lang w:val="en-US" w:eastAsia="zh-CN"/>
        </w:rPr>
        <w:t>5</w:t>
      </w:r>
      <w:r>
        <w:rPr>
          <w:rFonts w:hint="eastAsia" w:ascii="Times New Roman" w:hAnsi="Times New Roman" w:eastAsia="方正仿宋_GBK" w:cs="方正仿宋_GB2312"/>
          <w:sz w:val="24"/>
          <w:szCs w:val="24"/>
        </w:rPr>
        <w:t>人民币  1</w:t>
      </w:r>
      <w:r>
        <w:rPr>
          <w:rFonts w:hint="eastAsia" w:ascii="Times New Roman" w:hAnsi="Times New Roman" w:eastAsia="方正仿宋_GBK" w:cs="方正仿宋_GB2312"/>
          <w:sz w:val="24"/>
          <w:szCs w:val="24"/>
          <w:lang w:val="en-US" w:eastAsia="zh-CN"/>
        </w:rPr>
        <w:t>欧</w:t>
      </w:r>
      <w:r>
        <w:rPr>
          <w:rFonts w:hint="eastAsia" w:ascii="Times New Roman" w:hAnsi="Times New Roman" w:eastAsia="方正仿宋_GBK" w:cs="方正仿宋_GB2312"/>
          <w:sz w:val="24"/>
          <w:szCs w:val="24"/>
        </w:rPr>
        <w:t>元=</w:t>
      </w:r>
      <w:r>
        <w:rPr>
          <w:rFonts w:hint="eastAsia" w:ascii="Times New Roman" w:hAnsi="Times New Roman" w:eastAsia="方正仿宋_GBK" w:cs="方正仿宋_GB2312"/>
          <w:sz w:val="24"/>
          <w:szCs w:val="24"/>
          <w:lang w:val="en-US" w:eastAsia="zh-CN"/>
        </w:rPr>
        <w:t>8</w:t>
      </w:r>
      <w:r>
        <w:rPr>
          <w:rFonts w:hint="eastAsia" w:ascii="Times New Roman" w:hAnsi="Times New Roman" w:eastAsia="方正仿宋_GBK" w:cs="方正仿宋_GB2312"/>
          <w:sz w:val="24"/>
          <w:szCs w:val="24"/>
        </w:rPr>
        <w:t>人民币                        金额单位：元</w:t>
      </w:r>
    </w:p>
    <w:tbl>
      <w:tblPr>
        <w:tblStyle w:val="60"/>
        <w:tblW w:w="96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
        <w:gridCol w:w="510"/>
        <w:gridCol w:w="3075"/>
        <w:gridCol w:w="960"/>
        <w:gridCol w:w="1237"/>
        <w:gridCol w:w="1238"/>
        <w:gridCol w:w="2143"/>
      </w:tblGrid>
      <w:tr w14:paraId="289DB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526" w:type="dxa"/>
            <w:vMerge w:val="restart"/>
            <w:vAlign w:val="center"/>
          </w:tcPr>
          <w:p w14:paraId="1ABFFCFD">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序号</w:t>
            </w:r>
          </w:p>
        </w:tc>
        <w:tc>
          <w:tcPr>
            <w:tcW w:w="3585" w:type="dxa"/>
            <w:gridSpan w:val="2"/>
            <w:vMerge w:val="restart"/>
            <w:vAlign w:val="center"/>
          </w:tcPr>
          <w:p w14:paraId="2721D5D8">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项目名称</w:t>
            </w:r>
          </w:p>
        </w:tc>
        <w:tc>
          <w:tcPr>
            <w:tcW w:w="960" w:type="dxa"/>
            <w:vMerge w:val="restart"/>
            <w:vAlign w:val="center"/>
          </w:tcPr>
          <w:p w14:paraId="18BFD070">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标准             （</w:t>
            </w:r>
            <w:r>
              <w:rPr>
                <w:rFonts w:hint="eastAsia" w:eastAsia="方正仿宋_GBK" w:cs="Times New Roman"/>
                <w:sz w:val="21"/>
                <w:szCs w:val="24"/>
                <w:lang w:val="en-US" w:eastAsia="zh-CN"/>
              </w:rPr>
              <w:t>美元</w:t>
            </w:r>
            <w:r>
              <w:rPr>
                <w:rFonts w:hint="default" w:ascii="Times New Roman" w:hAnsi="Times New Roman" w:eastAsia="方正仿宋_GBK" w:cs="Times New Roman"/>
                <w:sz w:val="21"/>
                <w:szCs w:val="24"/>
              </w:rPr>
              <w:t>/人·天</w:t>
            </w:r>
            <w:r>
              <w:rPr>
                <w:rFonts w:hint="eastAsia" w:eastAsia="方正仿宋_GBK" w:cs="Times New Roman"/>
                <w:sz w:val="21"/>
                <w:szCs w:val="24"/>
                <w:lang w:eastAsia="zh-CN"/>
              </w:rPr>
              <w:t>、</w:t>
            </w:r>
            <w:r>
              <w:rPr>
                <w:rFonts w:hint="eastAsia" w:eastAsia="方正仿宋_GBK" w:cs="Times New Roman"/>
                <w:sz w:val="21"/>
                <w:szCs w:val="24"/>
                <w:lang w:val="en-US" w:eastAsia="zh-CN"/>
              </w:rPr>
              <w:t>欧元</w:t>
            </w:r>
            <w:r>
              <w:rPr>
                <w:rFonts w:hint="default" w:ascii="Times New Roman" w:hAnsi="Times New Roman" w:eastAsia="方正仿宋_GBK" w:cs="Times New Roman"/>
                <w:sz w:val="21"/>
                <w:szCs w:val="24"/>
              </w:rPr>
              <w:t>/人·天）</w:t>
            </w:r>
          </w:p>
        </w:tc>
        <w:tc>
          <w:tcPr>
            <w:tcW w:w="2475" w:type="dxa"/>
            <w:gridSpan w:val="2"/>
            <w:vAlign w:val="center"/>
          </w:tcPr>
          <w:p w14:paraId="2C7C160E">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报价</w:t>
            </w:r>
          </w:p>
        </w:tc>
        <w:tc>
          <w:tcPr>
            <w:tcW w:w="2143" w:type="dxa"/>
            <w:vMerge w:val="restart"/>
            <w:vAlign w:val="center"/>
          </w:tcPr>
          <w:p w14:paraId="29C1684B">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合计</w:t>
            </w:r>
          </w:p>
        </w:tc>
      </w:tr>
      <w:tr w14:paraId="766F8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526" w:type="dxa"/>
            <w:vMerge w:val="continue"/>
            <w:vAlign w:val="center"/>
          </w:tcPr>
          <w:p w14:paraId="711F07AD">
            <w:pPr>
              <w:spacing w:line="520" w:lineRule="exact"/>
              <w:jc w:val="center"/>
              <w:rPr>
                <w:rFonts w:hint="default" w:ascii="Times New Roman" w:hAnsi="Times New Roman" w:eastAsia="方正仿宋_GBK" w:cs="Times New Roman"/>
                <w:sz w:val="21"/>
                <w:szCs w:val="24"/>
              </w:rPr>
            </w:pPr>
          </w:p>
        </w:tc>
        <w:tc>
          <w:tcPr>
            <w:tcW w:w="3585" w:type="dxa"/>
            <w:gridSpan w:val="2"/>
            <w:vMerge w:val="continue"/>
            <w:vAlign w:val="center"/>
          </w:tcPr>
          <w:p w14:paraId="09B12685">
            <w:pPr>
              <w:spacing w:line="520" w:lineRule="exact"/>
              <w:jc w:val="center"/>
              <w:rPr>
                <w:rFonts w:hint="default" w:ascii="Times New Roman" w:hAnsi="Times New Roman" w:eastAsia="方正仿宋_GBK" w:cs="Times New Roman"/>
                <w:sz w:val="21"/>
                <w:szCs w:val="24"/>
              </w:rPr>
            </w:pPr>
          </w:p>
        </w:tc>
        <w:tc>
          <w:tcPr>
            <w:tcW w:w="960" w:type="dxa"/>
            <w:vMerge w:val="continue"/>
            <w:vAlign w:val="center"/>
          </w:tcPr>
          <w:p w14:paraId="09FC2F4B">
            <w:pPr>
              <w:spacing w:line="520" w:lineRule="exact"/>
              <w:jc w:val="center"/>
              <w:rPr>
                <w:rFonts w:hint="default" w:ascii="Times New Roman" w:hAnsi="Times New Roman" w:eastAsia="方正仿宋_GBK" w:cs="Times New Roman"/>
                <w:sz w:val="21"/>
                <w:szCs w:val="24"/>
              </w:rPr>
            </w:pPr>
          </w:p>
        </w:tc>
        <w:tc>
          <w:tcPr>
            <w:tcW w:w="1237" w:type="dxa"/>
            <w:vAlign w:val="center"/>
          </w:tcPr>
          <w:p w14:paraId="14FA73A5">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厅局级     （元/人）</w:t>
            </w:r>
          </w:p>
        </w:tc>
        <w:tc>
          <w:tcPr>
            <w:tcW w:w="1238" w:type="dxa"/>
            <w:vAlign w:val="center"/>
          </w:tcPr>
          <w:p w14:paraId="2DB61255">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一般人员    （元/人）</w:t>
            </w:r>
          </w:p>
        </w:tc>
        <w:tc>
          <w:tcPr>
            <w:tcW w:w="2143" w:type="dxa"/>
            <w:vMerge w:val="continue"/>
            <w:vAlign w:val="center"/>
          </w:tcPr>
          <w:p w14:paraId="3B158B74">
            <w:pPr>
              <w:spacing w:line="520" w:lineRule="exact"/>
              <w:jc w:val="center"/>
              <w:rPr>
                <w:rFonts w:hint="default" w:ascii="Times New Roman" w:hAnsi="Times New Roman" w:eastAsia="方正仿宋_GBK" w:cs="Times New Roman"/>
                <w:sz w:val="21"/>
                <w:szCs w:val="24"/>
              </w:rPr>
            </w:pPr>
          </w:p>
        </w:tc>
      </w:tr>
      <w:tr w14:paraId="5CAA2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Align w:val="center"/>
          </w:tcPr>
          <w:p w14:paraId="5BB63062">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一</w:t>
            </w:r>
          </w:p>
        </w:tc>
        <w:tc>
          <w:tcPr>
            <w:tcW w:w="510" w:type="dxa"/>
            <w:vAlign w:val="center"/>
          </w:tcPr>
          <w:p w14:paraId="479FE780">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境内</w:t>
            </w:r>
          </w:p>
        </w:tc>
        <w:tc>
          <w:tcPr>
            <w:tcW w:w="3075" w:type="dxa"/>
            <w:vAlign w:val="center"/>
          </w:tcPr>
          <w:p w14:paraId="36B86E7B">
            <w:pPr>
              <w:spacing w:line="520" w:lineRule="exact"/>
              <w:jc w:val="left"/>
              <w:rPr>
                <w:rFonts w:hint="eastAsia" w:ascii="Times New Roman" w:hAnsi="Times New Roman" w:eastAsia="方正仿宋_GBK" w:cs="Times New Roman"/>
                <w:sz w:val="21"/>
                <w:szCs w:val="24"/>
                <w:lang w:eastAsia="zh-CN"/>
              </w:rPr>
            </w:pPr>
            <w:r>
              <w:rPr>
                <w:rFonts w:hint="default" w:ascii="Times New Roman" w:hAnsi="Times New Roman" w:eastAsia="方正仿宋_GBK" w:cs="Times New Roman"/>
                <w:sz w:val="21"/>
                <w:szCs w:val="24"/>
              </w:rPr>
              <w:t>1.交通费</w:t>
            </w:r>
            <w:r>
              <w:rPr>
                <w:rFonts w:hint="eastAsia" w:ascii="Times New Roman" w:hAnsi="Times New Roman" w:eastAsia="方正仿宋_GBK" w:cs="Times New Roman"/>
                <w:sz w:val="21"/>
                <w:szCs w:val="24"/>
                <w:lang w:eastAsia="zh-CN"/>
              </w:rPr>
              <w:t>（</w:t>
            </w:r>
            <w:r>
              <w:rPr>
                <w:rFonts w:hint="eastAsia" w:ascii="Times New Roman" w:hAnsi="Times New Roman" w:eastAsia="方正仿宋_GBK" w:cs="Times New Roman"/>
                <w:color w:val="000000" w:themeColor="text1"/>
                <w:sz w:val="21"/>
                <w:szCs w:val="24"/>
                <w:lang w:val="en-US" w:eastAsia="zh-CN"/>
                <w14:textFill>
                  <w14:solidFill>
                    <w14:schemeClr w14:val="tx1"/>
                  </w14:solidFill>
                </w14:textFill>
              </w:rPr>
              <w:t>高铁</w:t>
            </w:r>
            <w:r>
              <w:rPr>
                <w:rFonts w:hint="eastAsia" w:ascii="Times New Roman" w:hAnsi="Times New Roman" w:eastAsia="方正仿宋_GBK" w:cs="Times New Roman"/>
                <w:sz w:val="21"/>
                <w:szCs w:val="24"/>
                <w:lang w:eastAsia="zh-CN"/>
              </w:rPr>
              <w:t>）</w:t>
            </w:r>
          </w:p>
        </w:tc>
        <w:tc>
          <w:tcPr>
            <w:tcW w:w="960" w:type="dxa"/>
            <w:vAlign w:val="center"/>
          </w:tcPr>
          <w:p w14:paraId="4B4431EB">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r>
              <w:rPr>
                <w:rFonts w:hint="eastAsia" w:ascii="Times New Roman" w:hAnsi="Times New Roman" w:eastAsia="方正仿宋_GBK" w:cs="Times New Roman"/>
                <w:color w:val="000000" w:themeColor="text1"/>
                <w:sz w:val="21"/>
                <w:szCs w:val="24"/>
                <w:lang w:val="en-US" w:eastAsia="zh-CN"/>
                <w14:textFill>
                  <w14:solidFill>
                    <w14:schemeClr w14:val="tx1"/>
                  </w14:solidFill>
                </w14:textFill>
              </w:rPr>
              <w:t>暂定价</w:t>
            </w:r>
          </w:p>
        </w:tc>
        <w:tc>
          <w:tcPr>
            <w:tcW w:w="1237" w:type="dxa"/>
            <w:vAlign w:val="center"/>
          </w:tcPr>
          <w:p w14:paraId="29AAC813">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3869D68C">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2143" w:type="dxa"/>
            <w:vAlign w:val="center"/>
          </w:tcPr>
          <w:p w14:paraId="0951A90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r>
      <w:tr w14:paraId="17D3C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Merge w:val="restart"/>
            <w:vAlign w:val="center"/>
          </w:tcPr>
          <w:p w14:paraId="1AEEDF0B">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二</w:t>
            </w:r>
          </w:p>
        </w:tc>
        <w:tc>
          <w:tcPr>
            <w:tcW w:w="510" w:type="dxa"/>
            <w:vMerge w:val="restart"/>
            <w:vAlign w:val="center"/>
          </w:tcPr>
          <w:p w14:paraId="6DF8AC77">
            <w:pPr>
              <w:spacing w:line="520" w:lineRule="exact"/>
              <w:jc w:val="center"/>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境外</w:t>
            </w:r>
          </w:p>
        </w:tc>
        <w:tc>
          <w:tcPr>
            <w:tcW w:w="3075" w:type="dxa"/>
            <w:vAlign w:val="center"/>
          </w:tcPr>
          <w:p w14:paraId="29C69254">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1.机票费</w:t>
            </w:r>
          </w:p>
        </w:tc>
        <w:tc>
          <w:tcPr>
            <w:tcW w:w="960" w:type="dxa"/>
            <w:vAlign w:val="center"/>
          </w:tcPr>
          <w:p w14:paraId="5F5F0740">
            <w:pPr>
              <w:spacing w:line="520" w:lineRule="exact"/>
              <w:jc w:val="center"/>
              <w:rPr>
                <w:rFonts w:hint="default" w:ascii="Times New Roman" w:hAnsi="Times New Roman" w:eastAsia="方正仿宋_GBK" w:cs="Times New Roman"/>
                <w:color w:val="000000" w:themeColor="text1"/>
                <w:sz w:val="21"/>
                <w:szCs w:val="24"/>
                <w14:textFill>
                  <w14:solidFill>
                    <w14:schemeClr w14:val="tx1"/>
                  </w14:solidFill>
                </w14:textFill>
              </w:rPr>
            </w:pPr>
            <w:r>
              <w:rPr>
                <w:rFonts w:hint="default" w:ascii="Times New Roman" w:hAnsi="Times New Roman" w:eastAsia="方正仿宋_GBK" w:cs="Times New Roman"/>
                <w:color w:val="000000" w:themeColor="text1"/>
                <w:sz w:val="21"/>
                <w:szCs w:val="24"/>
                <w14:textFill>
                  <w14:solidFill>
                    <w14:schemeClr w14:val="tx1"/>
                  </w14:solidFill>
                </w14:textFill>
              </w:rPr>
              <w:t>暂定价</w:t>
            </w:r>
          </w:p>
        </w:tc>
        <w:tc>
          <w:tcPr>
            <w:tcW w:w="1237" w:type="dxa"/>
            <w:vAlign w:val="center"/>
          </w:tcPr>
          <w:p w14:paraId="75117EDC">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2B3674F1">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2143" w:type="dxa"/>
            <w:vAlign w:val="center"/>
          </w:tcPr>
          <w:p w14:paraId="300BE09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5BF55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Merge w:val="continue"/>
            <w:vAlign w:val="center"/>
          </w:tcPr>
          <w:p w14:paraId="375FFF8C">
            <w:pPr>
              <w:spacing w:line="520" w:lineRule="exact"/>
              <w:jc w:val="center"/>
              <w:rPr>
                <w:rFonts w:hint="default" w:ascii="Times New Roman" w:hAnsi="Times New Roman" w:eastAsia="方正仿宋_GBK" w:cs="Times New Roman"/>
                <w:sz w:val="21"/>
                <w:szCs w:val="24"/>
              </w:rPr>
            </w:pPr>
          </w:p>
        </w:tc>
        <w:tc>
          <w:tcPr>
            <w:tcW w:w="510" w:type="dxa"/>
            <w:vMerge w:val="continue"/>
            <w:vAlign w:val="center"/>
          </w:tcPr>
          <w:p w14:paraId="4387DF2B">
            <w:pPr>
              <w:spacing w:line="520" w:lineRule="exact"/>
              <w:jc w:val="center"/>
              <w:rPr>
                <w:rFonts w:hint="default" w:ascii="Times New Roman" w:hAnsi="Times New Roman" w:eastAsia="方正仿宋_GBK" w:cs="Times New Roman"/>
                <w:sz w:val="21"/>
                <w:szCs w:val="24"/>
              </w:rPr>
            </w:pPr>
          </w:p>
        </w:tc>
        <w:tc>
          <w:tcPr>
            <w:tcW w:w="3075" w:type="dxa"/>
            <w:vAlign w:val="center"/>
          </w:tcPr>
          <w:p w14:paraId="0BE7D488">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2.住宿费</w:t>
            </w:r>
          </w:p>
        </w:tc>
        <w:tc>
          <w:tcPr>
            <w:tcW w:w="960" w:type="dxa"/>
            <w:vAlign w:val="center"/>
          </w:tcPr>
          <w:p w14:paraId="639D7326">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7" w:type="dxa"/>
            <w:vAlign w:val="center"/>
          </w:tcPr>
          <w:p w14:paraId="65D17826">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68378248">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2143" w:type="dxa"/>
            <w:vAlign w:val="center"/>
          </w:tcPr>
          <w:p w14:paraId="3E0EAB2E">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2ED4D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Merge w:val="continue"/>
            <w:vAlign w:val="center"/>
          </w:tcPr>
          <w:p w14:paraId="2F57770B">
            <w:pPr>
              <w:spacing w:line="520" w:lineRule="exact"/>
              <w:jc w:val="center"/>
              <w:rPr>
                <w:rFonts w:hint="default" w:ascii="Times New Roman" w:hAnsi="Times New Roman" w:eastAsia="方正仿宋_GBK" w:cs="Times New Roman"/>
                <w:sz w:val="21"/>
                <w:szCs w:val="24"/>
              </w:rPr>
            </w:pPr>
          </w:p>
        </w:tc>
        <w:tc>
          <w:tcPr>
            <w:tcW w:w="510" w:type="dxa"/>
            <w:vMerge w:val="continue"/>
            <w:vAlign w:val="center"/>
          </w:tcPr>
          <w:p w14:paraId="3BF57567">
            <w:pPr>
              <w:spacing w:line="520" w:lineRule="exact"/>
              <w:jc w:val="center"/>
              <w:rPr>
                <w:rFonts w:hint="default" w:ascii="Times New Roman" w:hAnsi="Times New Roman" w:eastAsia="方正仿宋_GBK" w:cs="Times New Roman"/>
                <w:sz w:val="21"/>
                <w:szCs w:val="24"/>
              </w:rPr>
            </w:pPr>
          </w:p>
        </w:tc>
        <w:tc>
          <w:tcPr>
            <w:tcW w:w="3075" w:type="dxa"/>
            <w:vAlign w:val="center"/>
          </w:tcPr>
          <w:p w14:paraId="2017FD14">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3.伙食费</w:t>
            </w:r>
          </w:p>
        </w:tc>
        <w:tc>
          <w:tcPr>
            <w:tcW w:w="960" w:type="dxa"/>
            <w:vAlign w:val="center"/>
          </w:tcPr>
          <w:p w14:paraId="0FB62AEC">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7" w:type="dxa"/>
            <w:vAlign w:val="center"/>
          </w:tcPr>
          <w:p w14:paraId="722B1CE4">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1238" w:type="dxa"/>
            <w:vAlign w:val="center"/>
          </w:tcPr>
          <w:p w14:paraId="1730AA2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2143" w:type="dxa"/>
            <w:vAlign w:val="center"/>
          </w:tcPr>
          <w:p w14:paraId="42CF3611">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3E8BD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Merge w:val="continue"/>
            <w:vAlign w:val="center"/>
          </w:tcPr>
          <w:p w14:paraId="5E0C462B">
            <w:pPr>
              <w:spacing w:line="520" w:lineRule="exact"/>
              <w:jc w:val="center"/>
              <w:rPr>
                <w:rFonts w:hint="default" w:ascii="Times New Roman" w:hAnsi="Times New Roman" w:eastAsia="方正仿宋_GBK" w:cs="Times New Roman"/>
                <w:sz w:val="21"/>
                <w:szCs w:val="24"/>
              </w:rPr>
            </w:pPr>
          </w:p>
        </w:tc>
        <w:tc>
          <w:tcPr>
            <w:tcW w:w="510" w:type="dxa"/>
            <w:vMerge w:val="continue"/>
            <w:vAlign w:val="center"/>
          </w:tcPr>
          <w:p w14:paraId="64C289AC">
            <w:pPr>
              <w:spacing w:line="520" w:lineRule="exact"/>
              <w:jc w:val="center"/>
              <w:rPr>
                <w:rFonts w:hint="default" w:ascii="Times New Roman" w:hAnsi="Times New Roman" w:eastAsia="方正仿宋_GBK" w:cs="Times New Roman"/>
                <w:sz w:val="21"/>
                <w:szCs w:val="24"/>
              </w:rPr>
            </w:pPr>
          </w:p>
        </w:tc>
        <w:tc>
          <w:tcPr>
            <w:tcW w:w="3075" w:type="dxa"/>
            <w:vAlign w:val="center"/>
          </w:tcPr>
          <w:p w14:paraId="2BB167A7">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4.公杂费</w:t>
            </w:r>
          </w:p>
        </w:tc>
        <w:tc>
          <w:tcPr>
            <w:tcW w:w="960" w:type="dxa"/>
            <w:vAlign w:val="center"/>
          </w:tcPr>
          <w:p w14:paraId="0FB91376">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7" w:type="dxa"/>
            <w:vAlign w:val="center"/>
          </w:tcPr>
          <w:p w14:paraId="26AF232A">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0B70FEDA">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2143" w:type="dxa"/>
            <w:vAlign w:val="center"/>
          </w:tcPr>
          <w:p w14:paraId="54AC94BF">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2FC0A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Merge w:val="continue"/>
            <w:vAlign w:val="center"/>
          </w:tcPr>
          <w:p w14:paraId="77AA5B08">
            <w:pPr>
              <w:spacing w:line="520" w:lineRule="exact"/>
              <w:jc w:val="center"/>
              <w:rPr>
                <w:rFonts w:hint="default" w:ascii="Times New Roman" w:hAnsi="Times New Roman" w:eastAsia="方正仿宋_GBK" w:cs="Times New Roman"/>
                <w:sz w:val="21"/>
                <w:szCs w:val="24"/>
              </w:rPr>
            </w:pPr>
          </w:p>
        </w:tc>
        <w:tc>
          <w:tcPr>
            <w:tcW w:w="510" w:type="dxa"/>
            <w:vMerge w:val="continue"/>
            <w:vAlign w:val="center"/>
          </w:tcPr>
          <w:p w14:paraId="354EF843">
            <w:pPr>
              <w:spacing w:line="520" w:lineRule="exact"/>
              <w:jc w:val="center"/>
              <w:rPr>
                <w:rFonts w:hint="default" w:ascii="Times New Roman" w:hAnsi="Times New Roman" w:eastAsia="方正仿宋_GBK" w:cs="Times New Roman"/>
                <w:sz w:val="21"/>
                <w:szCs w:val="24"/>
              </w:rPr>
            </w:pPr>
          </w:p>
        </w:tc>
        <w:tc>
          <w:tcPr>
            <w:tcW w:w="3075" w:type="dxa"/>
            <w:vAlign w:val="center"/>
          </w:tcPr>
          <w:p w14:paraId="28614899">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5.城市间交通费（涉及城市之间，不包含在国际旅费中）</w:t>
            </w:r>
          </w:p>
        </w:tc>
        <w:tc>
          <w:tcPr>
            <w:tcW w:w="960" w:type="dxa"/>
            <w:vAlign w:val="center"/>
          </w:tcPr>
          <w:p w14:paraId="03CA1DE6">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t>/</w:t>
            </w:r>
          </w:p>
        </w:tc>
        <w:tc>
          <w:tcPr>
            <w:tcW w:w="1237" w:type="dxa"/>
            <w:vAlign w:val="center"/>
          </w:tcPr>
          <w:p w14:paraId="66C00447">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54EDF1D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2143" w:type="dxa"/>
            <w:vAlign w:val="center"/>
          </w:tcPr>
          <w:p w14:paraId="31B5D34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25BFF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4" w:hRule="atLeast"/>
        </w:trPr>
        <w:tc>
          <w:tcPr>
            <w:tcW w:w="526" w:type="dxa"/>
            <w:vMerge w:val="continue"/>
            <w:vAlign w:val="center"/>
          </w:tcPr>
          <w:p w14:paraId="3DD779BA">
            <w:pPr>
              <w:spacing w:line="520" w:lineRule="exact"/>
              <w:jc w:val="center"/>
              <w:rPr>
                <w:rFonts w:hint="default" w:ascii="Times New Roman" w:hAnsi="Times New Roman" w:eastAsia="方正仿宋_GBK" w:cs="Times New Roman"/>
                <w:sz w:val="21"/>
                <w:szCs w:val="24"/>
              </w:rPr>
            </w:pPr>
          </w:p>
        </w:tc>
        <w:tc>
          <w:tcPr>
            <w:tcW w:w="510" w:type="dxa"/>
            <w:vMerge w:val="continue"/>
            <w:vAlign w:val="center"/>
          </w:tcPr>
          <w:p w14:paraId="7D7B7B99">
            <w:pPr>
              <w:spacing w:line="520" w:lineRule="exact"/>
              <w:jc w:val="center"/>
              <w:rPr>
                <w:rFonts w:hint="default" w:ascii="Times New Roman" w:hAnsi="Times New Roman" w:eastAsia="方正仿宋_GBK" w:cs="Times New Roman"/>
                <w:sz w:val="21"/>
                <w:szCs w:val="24"/>
              </w:rPr>
            </w:pPr>
          </w:p>
        </w:tc>
        <w:tc>
          <w:tcPr>
            <w:tcW w:w="3075" w:type="dxa"/>
            <w:vAlign w:val="center"/>
          </w:tcPr>
          <w:p w14:paraId="1E62B96A">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6.其他费用（必需的保险、会议注册和确需的宴请、赠礼及列车补助等）</w:t>
            </w:r>
          </w:p>
        </w:tc>
        <w:tc>
          <w:tcPr>
            <w:tcW w:w="960" w:type="dxa"/>
            <w:vAlign w:val="center"/>
          </w:tcPr>
          <w:p w14:paraId="4A92CF17">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t>/</w:t>
            </w:r>
          </w:p>
        </w:tc>
        <w:tc>
          <w:tcPr>
            <w:tcW w:w="1237" w:type="dxa"/>
            <w:vAlign w:val="center"/>
          </w:tcPr>
          <w:p w14:paraId="614D5A3A">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1238" w:type="dxa"/>
            <w:vAlign w:val="center"/>
          </w:tcPr>
          <w:p w14:paraId="41725184">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c>
          <w:tcPr>
            <w:tcW w:w="2143" w:type="dxa"/>
            <w:vAlign w:val="center"/>
          </w:tcPr>
          <w:p w14:paraId="33017AB0">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14:textFill>
                  <w14:solidFill>
                    <w14:schemeClr w14:val="tx1"/>
                  </w14:solidFill>
                </w14:textFill>
              </w:rPr>
            </w:pPr>
          </w:p>
        </w:tc>
      </w:tr>
      <w:tr w14:paraId="173CC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Align w:val="center"/>
          </w:tcPr>
          <w:p w14:paraId="7C7E20A6">
            <w:pPr>
              <w:spacing w:line="520" w:lineRule="exact"/>
              <w:jc w:val="center"/>
              <w:rPr>
                <w:rFonts w:hint="eastAsia" w:ascii="Times New Roman" w:hAnsi="Times New Roman" w:eastAsia="方正仿宋_GBK" w:cs="Times New Roman"/>
                <w:sz w:val="21"/>
                <w:szCs w:val="24"/>
                <w:lang w:val="en-US" w:eastAsia="zh-CN"/>
              </w:rPr>
            </w:pPr>
            <w:r>
              <w:rPr>
                <w:rFonts w:hint="eastAsia" w:eastAsia="方正仿宋_GBK" w:cs="Times New Roman"/>
                <w:sz w:val="21"/>
                <w:szCs w:val="24"/>
                <w:lang w:val="en-US" w:eastAsia="zh-CN"/>
              </w:rPr>
              <w:t>三</w:t>
            </w:r>
          </w:p>
        </w:tc>
        <w:tc>
          <w:tcPr>
            <w:tcW w:w="3585" w:type="dxa"/>
            <w:gridSpan w:val="2"/>
            <w:vAlign w:val="center"/>
          </w:tcPr>
          <w:p w14:paraId="2299316B">
            <w:pPr>
              <w:spacing w:line="520" w:lineRule="exact"/>
              <w:jc w:val="left"/>
              <w:rPr>
                <w:rFonts w:hint="default" w:ascii="Times New Roman" w:hAnsi="Times New Roman" w:eastAsia="方正仿宋_GBK" w:cs="Times New Roman"/>
                <w:sz w:val="21"/>
                <w:szCs w:val="24"/>
              </w:rPr>
            </w:pPr>
            <w:r>
              <w:rPr>
                <w:rFonts w:hint="default" w:ascii="Times New Roman" w:hAnsi="Times New Roman" w:eastAsia="方正仿宋_GBK" w:cs="Times New Roman"/>
                <w:sz w:val="21"/>
                <w:szCs w:val="24"/>
              </w:rPr>
              <w:t>出访人数</w:t>
            </w:r>
          </w:p>
        </w:tc>
        <w:tc>
          <w:tcPr>
            <w:tcW w:w="960" w:type="dxa"/>
            <w:vAlign w:val="center"/>
          </w:tcPr>
          <w:p w14:paraId="5C618826">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t>/</w:t>
            </w:r>
          </w:p>
        </w:tc>
        <w:tc>
          <w:tcPr>
            <w:tcW w:w="1237" w:type="dxa"/>
            <w:vAlign w:val="center"/>
          </w:tcPr>
          <w:p w14:paraId="7DABC2F9">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7F1CA60E">
            <w:pPr>
              <w:keepNext w:val="0"/>
              <w:keepLines w:val="0"/>
              <w:widowControl/>
              <w:suppressLineNumbers w:val="0"/>
              <w:jc w:val="center"/>
              <w:textAlignment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2143" w:type="dxa"/>
            <w:vAlign w:val="center"/>
          </w:tcPr>
          <w:p w14:paraId="6C72CEBF">
            <w:pPr>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r>
      <w:tr w14:paraId="20EB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526" w:type="dxa"/>
            <w:vAlign w:val="center"/>
          </w:tcPr>
          <w:p w14:paraId="6BDAF5AA">
            <w:pPr>
              <w:spacing w:line="520" w:lineRule="exact"/>
              <w:jc w:val="center"/>
              <w:rPr>
                <w:rFonts w:hint="eastAsia" w:ascii="Times New Roman" w:hAnsi="Times New Roman" w:eastAsia="方正仿宋_GBK" w:cs="Times New Roman"/>
                <w:sz w:val="21"/>
                <w:szCs w:val="24"/>
                <w:lang w:val="en-US" w:eastAsia="zh-CN"/>
              </w:rPr>
            </w:pPr>
            <w:r>
              <w:rPr>
                <w:rFonts w:hint="eastAsia" w:eastAsia="方正仿宋_GBK" w:cs="Times New Roman"/>
                <w:sz w:val="21"/>
                <w:szCs w:val="24"/>
                <w:lang w:val="en-US" w:eastAsia="zh-CN"/>
              </w:rPr>
              <w:t>四</w:t>
            </w:r>
          </w:p>
        </w:tc>
        <w:tc>
          <w:tcPr>
            <w:tcW w:w="3585" w:type="dxa"/>
            <w:gridSpan w:val="2"/>
            <w:vAlign w:val="center"/>
          </w:tcPr>
          <w:p w14:paraId="6C9C63EE">
            <w:pPr>
              <w:spacing w:line="520" w:lineRule="exact"/>
              <w:jc w:val="left"/>
              <w:rPr>
                <w:rFonts w:hint="default" w:ascii="Times New Roman" w:hAnsi="Times New Roman" w:eastAsia="方正仿宋_GBK" w:cs="Times New Roman"/>
                <w:sz w:val="21"/>
                <w:szCs w:val="24"/>
                <w:lang w:val="en-US" w:eastAsia="zh-CN"/>
              </w:rPr>
            </w:pPr>
            <w:r>
              <w:rPr>
                <w:rFonts w:hint="default" w:ascii="Times New Roman" w:hAnsi="Times New Roman" w:eastAsia="方正仿宋_GBK" w:cs="Times New Roman"/>
                <w:sz w:val="21"/>
                <w:szCs w:val="24"/>
              </w:rPr>
              <w:t>总费用</w:t>
            </w:r>
            <w:r>
              <w:rPr>
                <w:rFonts w:hint="default" w:ascii="Times New Roman" w:hAnsi="Times New Roman" w:eastAsia="方正仿宋_GBK" w:cs="Times New Roman"/>
                <w:sz w:val="21"/>
                <w:szCs w:val="24"/>
                <w:lang w:eastAsia="zh-CN"/>
              </w:rPr>
              <w:t>（</w:t>
            </w:r>
            <w:r>
              <w:rPr>
                <w:rFonts w:hint="default" w:ascii="Times New Roman" w:hAnsi="Times New Roman" w:eastAsia="方正仿宋_GBK" w:cs="Times New Roman"/>
                <w:sz w:val="21"/>
                <w:szCs w:val="24"/>
                <w:lang w:val="en-US" w:eastAsia="zh-CN"/>
              </w:rPr>
              <w:t>取整）</w:t>
            </w:r>
            <w:bookmarkStart w:id="93" w:name="_GoBack"/>
            <w:bookmarkEnd w:id="93"/>
          </w:p>
        </w:tc>
        <w:tc>
          <w:tcPr>
            <w:tcW w:w="960" w:type="dxa"/>
            <w:vAlign w:val="center"/>
          </w:tcPr>
          <w:p w14:paraId="5A9BC3E3">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t>/</w:t>
            </w:r>
          </w:p>
        </w:tc>
        <w:tc>
          <w:tcPr>
            <w:tcW w:w="1237" w:type="dxa"/>
            <w:vAlign w:val="center"/>
          </w:tcPr>
          <w:p w14:paraId="51160DAE">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1238" w:type="dxa"/>
            <w:vAlign w:val="center"/>
          </w:tcPr>
          <w:p w14:paraId="2FDD29FA">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c>
          <w:tcPr>
            <w:tcW w:w="2143" w:type="dxa"/>
            <w:vAlign w:val="center"/>
          </w:tcPr>
          <w:p w14:paraId="251256BB">
            <w:pPr>
              <w:spacing w:line="520" w:lineRule="exact"/>
              <w:jc w:val="center"/>
              <w:rPr>
                <w:rFonts w:hint="default" w:ascii="Times New Roman" w:hAnsi="Times New Roman" w:eastAsia="方正仿宋_GBK" w:cs="Times New Roman"/>
                <w:color w:val="000000" w:themeColor="text1"/>
                <w:sz w:val="21"/>
                <w:szCs w:val="24"/>
                <w:lang w:val="en-US" w:eastAsia="zh-CN"/>
                <w14:textFill>
                  <w14:solidFill>
                    <w14:schemeClr w14:val="tx1"/>
                  </w14:solidFill>
                </w14:textFill>
              </w:rPr>
            </w:pPr>
          </w:p>
        </w:tc>
      </w:tr>
    </w:tbl>
    <w:p w14:paraId="10A5A421">
      <w:pPr>
        <w:spacing w:line="520" w:lineRule="exact"/>
        <w:rPr>
          <w:rFonts w:hint="eastAsia" w:ascii="Times New Roman" w:hAnsi="Times New Roman" w:eastAsia="方正仿宋_GBK" w:cs="方正仿宋_GB2312"/>
          <w:sz w:val="24"/>
          <w:szCs w:val="24"/>
          <w:u w:val="single"/>
        </w:rPr>
      </w:pPr>
      <w:r>
        <w:rPr>
          <w:rFonts w:hint="eastAsia" w:ascii="Times New Roman" w:hAnsi="Times New Roman" w:eastAsia="方正仿宋_GBK" w:cs="方正仿宋_GB2312"/>
          <w:sz w:val="21"/>
          <w:szCs w:val="24"/>
        </w:rPr>
        <w:t xml:space="preserve">                                                   </w:t>
      </w:r>
      <w:r>
        <w:rPr>
          <w:rFonts w:hint="eastAsia" w:ascii="Times New Roman" w:hAnsi="Times New Roman" w:eastAsia="方正仿宋_GBK" w:cs="方正仿宋_GB2312"/>
          <w:sz w:val="24"/>
          <w:szCs w:val="24"/>
        </w:rPr>
        <w:t>供应商（公章）：</w:t>
      </w:r>
      <w:r>
        <w:rPr>
          <w:rFonts w:hint="eastAsia" w:ascii="Times New Roman" w:hAnsi="Times New Roman" w:eastAsia="方正仿宋_GBK" w:cs="方正仿宋_GB2312"/>
          <w:sz w:val="24"/>
          <w:szCs w:val="24"/>
          <w:u w:val="single"/>
        </w:rPr>
        <w:t xml:space="preserve">                    </w:t>
      </w:r>
    </w:p>
    <w:p w14:paraId="0F262AB7">
      <w:pPr>
        <w:pStyle w:val="249"/>
        <w:ind w:firstLine="480" w:firstLineChars="200"/>
        <w:rPr>
          <w:rFonts w:hint="eastAsia" w:ascii="Times New Roman" w:hAnsi="Times New Roman" w:eastAsia="方正仿宋_GBK" w:cs="方正仿宋_GB2312"/>
          <w:sz w:val="24"/>
          <w:szCs w:val="24"/>
        </w:rPr>
      </w:pPr>
      <w:r>
        <w:rPr>
          <w:rFonts w:hint="eastAsia" w:ascii="Times New Roman" w:hAnsi="Times New Roman" w:eastAsia="方正仿宋_GBK" w:cs="方正仿宋_GB2312"/>
          <w:sz w:val="24"/>
          <w:szCs w:val="24"/>
        </w:rPr>
        <w:t>法定代表人或法定代表人授权代表（签字或盖章）：</w:t>
      </w:r>
      <w:r>
        <w:rPr>
          <w:rFonts w:hint="eastAsia" w:ascii="Times New Roman" w:hAnsi="Times New Roman" w:eastAsia="方正仿宋_GBK" w:cs="方正仿宋_GB2312"/>
          <w:sz w:val="24"/>
          <w:szCs w:val="24"/>
          <w:u w:val="single"/>
        </w:rPr>
        <w:t xml:space="preserve">                  </w:t>
      </w:r>
      <w:r>
        <w:rPr>
          <w:rFonts w:hint="eastAsia" w:ascii="Times New Roman" w:hAnsi="Times New Roman" w:eastAsia="方正仿宋_GBK" w:cs="方正仿宋_GB2312"/>
          <w:sz w:val="24"/>
          <w:szCs w:val="24"/>
        </w:rPr>
        <w:t xml:space="preserve"> </w:t>
      </w:r>
    </w:p>
    <w:p w14:paraId="069EF49E">
      <w:pPr>
        <w:ind w:firstLine="6960" w:firstLineChars="2900"/>
        <w:rPr>
          <w:rFonts w:hint="eastAsia" w:ascii="Times New Roman" w:hAnsi="Times New Roman" w:eastAsia="方正仿宋_GBK" w:cs="方正仿宋_GB2312"/>
          <w:sz w:val="24"/>
          <w:szCs w:val="24"/>
        </w:rPr>
      </w:pPr>
    </w:p>
    <w:p w14:paraId="7D1707D3">
      <w:pPr>
        <w:snapToGrid w:val="0"/>
        <w:spacing w:line="360" w:lineRule="auto"/>
        <w:ind w:firstLine="480" w:firstLineChars="200"/>
        <w:jc w:val="right"/>
        <w:rPr>
          <w:rFonts w:ascii="Times New Roman" w:hAnsi="Times New Roman" w:eastAsia="方正仿宋_GBK" w:cs="宋体"/>
          <w:sz w:val="22"/>
          <w:szCs w:val="22"/>
          <w:bdr w:val="single" w:color="auto" w:sz="4" w:space="0"/>
        </w:rPr>
        <w:sectPr>
          <w:footerReference r:id="rId14" w:type="default"/>
          <w:pgSz w:w="11907" w:h="16840"/>
          <w:pgMar w:top="1134" w:right="1191" w:bottom="1134" w:left="1304" w:header="851" w:footer="992" w:gutter="0"/>
          <w:pgNumType w:fmt="numberInDash"/>
          <w:cols w:space="720" w:num="1"/>
          <w:docGrid w:linePitch="380" w:charSpace="-5735"/>
        </w:sectPr>
      </w:pPr>
      <w:r>
        <w:rPr>
          <w:rFonts w:hint="eastAsia" w:ascii="Times New Roman" w:hAnsi="Times New Roman" w:eastAsia="方正仿宋_GBK" w:cs="方正仿宋_GB2312"/>
          <w:color w:val="000000"/>
          <w:sz w:val="24"/>
          <w:szCs w:val="24"/>
        </w:rPr>
        <w:t xml:space="preserve"> 年</w:t>
      </w:r>
      <w:r>
        <w:rPr>
          <w:rFonts w:hint="eastAsia" w:eastAsia="方正仿宋_GBK" w:cs="方正仿宋_GB2312"/>
          <w:color w:val="000000"/>
          <w:sz w:val="24"/>
          <w:szCs w:val="24"/>
          <w:lang w:val="en-US" w:eastAsia="zh-CN"/>
        </w:rPr>
        <w:t xml:space="preserve">   </w:t>
      </w:r>
      <w:r>
        <w:rPr>
          <w:rFonts w:hint="eastAsia" w:ascii="Times New Roman" w:hAnsi="Times New Roman" w:eastAsia="方正仿宋_GBK" w:cs="方正仿宋_GB2312"/>
          <w:color w:val="000000"/>
          <w:sz w:val="24"/>
          <w:szCs w:val="24"/>
        </w:rPr>
        <w:t>月</w:t>
      </w:r>
      <w:r>
        <w:rPr>
          <w:rFonts w:hint="eastAsia" w:eastAsia="方正仿宋_GBK" w:cs="方正仿宋_GB2312"/>
          <w:color w:val="000000"/>
          <w:sz w:val="24"/>
          <w:szCs w:val="24"/>
          <w:lang w:val="en-US" w:eastAsia="zh-CN"/>
        </w:rPr>
        <w:t xml:space="preserve">   </w:t>
      </w:r>
      <w:r>
        <w:rPr>
          <w:rFonts w:hint="eastAsia" w:ascii="Times New Roman" w:hAnsi="Times New Roman" w:eastAsia="方正仿宋_GBK" w:cs="方正仿宋_GB2312"/>
          <w:color w:val="000000"/>
          <w:sz w:val="24"/>
          <w:szCs w:val="24"/>
        </w:rPr>
        <w:t>日</w:t>
      </w:r>
    </w:p>
    <w:p w14:paraId="6134DCA9">
      <w:pPr>
        <w:spacing w:line="400" w:lineRule="exact"/>
        <w:ind w:firstLine="480" w:firstLineChars="200"/>
        <w:rPr>
          <w:rFonts w:hint="default" w:ascii="Times New Roman" w:hAnsi="Times New Roman" w:eastAsia="方正仿宋_GBK" w:cs="Times New Roman"/>
          <w:color w:val="000000"/>
          <w:sz w:val="24"/>
          <w:szCs w:val="24"/>
        </w:rPr>
      </w:pPr>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三</w:t>
      </w:r>
      <w:r>
        <w:rPr>
          <w:rFonts w:hint="eastAsia"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rPr>
        <w:t>公务活动费用报价表</w:t>
      </w:r>
    </w:p>
    <w:p w14:paraId="7D8B8863">
      <w:pPr>
        <w:jc w:val="center"/>
        <w:rPr>
          <w:rFonts w:hint="default" w:ascii="Times New Roman" w:hAnsi="Times New Roman" w:eastAsia="方正仿宋_GBK" w:cs="Times New Roman"/>
          <w:b/>
          <w:color w:val="000000"/>
          <w:szCs w:val="28"/>
        </w:rPr>
      </w:pPr>
    </w:p>
    <w:p w14:paraId="038F2876">
      <w:pPr>
        <w:jc w:val="center"/>
        <w:rPr>
          <w:rFonts w:hint="default" w:ascii="Times New Roman" w:hAnsi="Times New Roman" w:eastAsia="方正仿宋_GBK" w:cs="Times New Roman"/>
          <w:b/>
          <w:color w:val="000000"/>
          <w:szCs w:val="28"/>
          <w:highlight w:val="none"/>
        </w:rPr>
      </w:pPr>
      <w:r>
        <w:rPr>
          <w:rFonts w:hint="default" w:ascii="Times New Roman" w:hAnsi="Times New Roman" w:eastAsia="方正仿宋_GBK" w:cs="Times New Roman"/>
          <w:b/>
          <w:color w:val="000000"/>
          <w:szCs w:val="28"/>
          <w:highlight w:val="none"/>
        </w:rPr>
        <w:t>公务活动费用报价表</w:t>
      </w:r>
    </w:p>
    <w:p w14:paraId="52239AA8">
      <w:pPr>
        <w:adjustRightInd w:val="0"/>
        <w:snapToGrid w:val="0"/>
        <w:spacing w:line="400" w:lineRule="exact"/>
        <w:ind w:firstLine="480" w:firstLineChars="200"/>
        <w:rPr>
          <w:rFonts w:hint="default" w:ascii="Times New Roman" w:hAnsi="Times New Roman" w:eastAsia="方正仿宋_GBK" w:cs="Times New Roman"/>
          <w:color w:val="000000"/>
          <w:sz w:val="24"/>
          <w:highlight w:val="none"/>
        </w:rPr>
      </w:pPr>
    </w:p>
    <w:tbl>
      <w:tblPr>
        <w:tblStyle w:val="59"/>
        <w:tblW w:w="10048" w:type="dxa"/>
        <w:jc w:val="center"/>
        <w:tblLayout w:type="fixed"/>
        <w:tblCellMar>
          <w:top w:w="0" w:type="dxa"/>
          <w:left w:w="108" w:type="dxa"/>
          <w:bottom w:w="0" w:type="dxa"/>
          <w:right w:w="108" w:type="dxa"/>
        </w:tblCellMar>
      </w:tblPr>
      <w:tblGrid>
        <w:gridCol w:w="731"/>
        <w:gridCol w:w="1551"/>
        <w:gridCol w:w="2162"/>
        <w:gridCol w:w="1577"/>
        <w:gridCol w:w="4027"/>
      </w:tblGrid>
      <w:tr w14:paraId="5C2256EF">
        <w:tblPrEx>
          <w:tblCellMar>
            <w:top w:w="0" w:type="dxa"/>
            <w:left w:w="108" w:type="dxa"/>
            <w:bottom w:w="0" w:type="dxa"/>
            <w:right w:w="108" w:type="dxa"/>
          </w:tblCellMar>
        </w:tblPrEx>
        <w:trPr>
          <w:trHeight w:val="572"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4705B556">
            <w:pPr>
              <w:widowControl/>
              <w:snapToGrid w:val="0"/>
              <w:spacing w:line="300" w:lineRule="exact"/>
              <w:jc w:val="center"/>
              <w:textAlignment w:val="center"/>
              <w:rPr>
                <w:rFonts w:ascii="Times New Roman" w:hAnsi="Times New Roman" w:eastAsia="方正仿宋_GBK"/>
                <w:b/>
                <w:bCs/>
                <w:color w:val="000000"/>
                <w:sz w:val="24"/>
                <w:highlight w:val="none"/>
              </w:rPr>
            </w:pPr>
            <w:r>
              <w:rPr>
                <w:rFonts w:ascii="Times New Roman" w:hAnsi="Times New Roman" w:eastAsia="方正仿宋_GBK"/>
                <w:b/>
                <w:bCs/>
                <w:color w:val="000000"/>
                <w:kern w:val="0"/>
                <w:sz w:val="24"/>
                <w:highlight w:val="none"/>
                <w:lang w:bidi="ar"/>
              </w:rPr>
              <w:t>序号</w:t>
            </w:r>
          </w:p>
        </w:tc>
        <w:tc>
          <w:tcPr>
            <w:tcW w:w="1551" w:type="dxa"/>
            <w:tcBorders>
              <w:top w:val="single" w:color="auto" w:sz="4" w:space="0"/>
              <w:left w:val="single" w:color="auto" w:sz="4" w:space="0"/>
              <w:bottom w:val="single" w:color="auto" w:sz="4" w:space="0"/>
              <w:right w:val="single" w:color="auto" w:sz="4" w:space="0"/>
            </w:tcBorders>
            <w:vAlign w:val="center"/>
          </w:tcPr>
          <w:p w14:paraId="410A72EB">
            <w:pPr>
              <w:widowControl/>
              <w:snapToGrid w:val="0"/>
              <w:spacing w:line="300" w:lineRule="exact"/>
              <w:jc w:val="center"/>
              <w:textAlignment w:val="center"/>
              <w:rPr>
                <w:rFonts w:ascii="Times New Roman" w:hAnsi="Times New Roman" w:eastAsia="方正仿宋_GBK"/>
                <w:b/>
                <w:bCs/>
                <w:color w:val="000000"/>
                <w:sz w:val="24"/>
                <w:highlight w:val="none"/>
              </w:rPr>
            </w:pPr>
            <w:r>
              <w:rPr>
                <w:rFonts w:ascii="Times New Roman" w:hAnsi="Times New Roman" w:eastAsia="方正仿宋_GBK"/>
                <w:b/>
                <w:bCs/>
                <w:color w:val="000000"/>
                <w:kern w:val="0"/>
                <w:sz w:val="24"/>
                <w:highlight w:val="none"/>
                <w:lang w:bidi="ar"/>
              </w:rPr>
              <w:t>类别</w:t>
            </w:r>
          </w:p>
        </w:tc>
        <w:tc>
          <w:tcPr>
            <w:tcW w:w="2162" w:type="dxa"/>
            <w:tcBorders>
              <w:top w:val="single" w:color="auto" w:sz="4" w:space="0"/>
              <w:left w:val="single" w:color="auto" w:sz="4" w:space="0"/>
              <w:bottom w:val="single" w:color="auto" w:sz="4" w:space="0"/>
              <w:right w:val="single" w:color="auto" w:sz="4" w:space="0"/>
            </w:tcBorders>
            <w:vAlign w:val="center"/>
          </w:tcPr>
          <w:p w14:paraId="48E77092">
            <w:pPr>
              <w:widowControl/>
              <w:snapToGrid w:val="0"/>
              <w:spacing w:line="300" w:lineRule="exact"/>
              <w:jc w:val="center"/>
              <w:textAlignment w:val="center"/>
              <w:rPr>
                <w:rFonts w:ascii="Times New Roman" w:hAnsi="Times New Roman" w:eastAsia="方正仿宋_GBK"/>
                <w:b/>
                <w:bCs/>
                <w:color w:val="000000"/>
                <w:sz w:val="24"/>
                <w:highlight w:val="none"/>
              </w:rPr>
            </w:pPr>
            <w:r>
              <w:rPr>
                <w:rFonts w:ascii="Times New Roman" w:hAnsi="Times New Roman" w:eastAsia="方正仿宋_GBK"/>
                <w:b/>
                <w:bCs/>
                <w:color w:val="000000"/>
                <w:kern w:val="0"/>
                <w:sz w:val="24"/>
                <w:highlight w:val="none"/>
                <w:lang w:bidi="ar"/>
              </w:rPr>
              <w:t>费用名称</w:t>
            </w:r>
          </w:p>
        </w:tc>
        <w:tc>
          <w:tcPr>
            <w:tcW w:w="1577" w:type="dxa"/>
            <w:tcBorders>
              <w:top w:val="single" w:color="auto" w:sz="4" w:space="0"/>
              <w:left w:val="single" w:color="auto" w:sz="4" w:space="0"/>
              <w:bottom w:val="single" w:color="auto" w:sz="4" w:space="0"/>
              <w:right w:val="single" w:color="auto" w:sz="4" w:space="0"/>
            </w:tcBorders>
            <w:vAlign w:val="center"/>
          </w:tcPr>
          <w:p w14:paraId="71D66AA7">
            <w:pPr>
              <w:widowControl/>
              <w:snapToGrid w:val="0"/>
              <w:spacing w:line="300" w:lineRule="exact"/>
              <w:jc w:val="center"/>
              <w:textAlignment w:val="center"/>
              <w:rPr>
                <w:rFonts w:ascii="Times New Roman" w:hAnsi="Times New Roman" w:eastAsia="方正仿宋_GBK"/>
                <w:b/>
                <w:bCs/>
                <w:color w:val="000000"/>
                <w:sz w:val="24"/>
                <w:highlight w:val="none"/>
              </w:rPr>
            </w:pPr>
            <w:r>
              <w:rPr>
                <w:rFonts w:ascii="Times New Roman" w:hAnsi="Times New Roman" w:eastAsia="方正仿宋_GBK"/>
                <w:b/>
                <w:bCs/>
                <w:color w:val="000000"/>
                <w:kern w:val="0"/>
                <w:sz w:val="24"/>
                <w:highlight w:val="none"/>
                <w:lang w:bidi="ar"/>
              </w:rPr>
              <w:t>费用</w:t>
            </w:r>
            <w:r>
              <w:rPr>
                <w:rFonts w:hint="eastAsia" w:ascii="Times New Roman" w:hAnsi="Times New Roman" w:eastAsia="方正仿宋_GBK"/>
                <w:b/>
                <w:bCs/>
                <w:color w:val="000000"/>
                <w:kern w:val="0"/>
                <w:sz w:val="24"/>
                <w:highlight w:val="none"/>
                <w:lang w:bidi="ar"/>
              </w:rPr>
              <w:t>（元）</w:t>
            </w:r>
          </w:p>
        </w:tc>
        <w:tc>
          <w:tcPr>
            <w:tcW w:w="4027" w:type="dxa"/>
            <w:tcBorders>
              <w:top w:val="single" w:color="auto" w:sz="4" w:space="0"/>
              <w:left w:val="single" w:color="auto" w:sz="4" w:space="0"/>
              <w:bottom w:val="single" w:color="auto" w:sz="4" w:space="0"/>
              <w:right w:val="single" w:color="auto" w:sz="4" w:space="0"/>
            </w:tcBorders>
            <w:vAlign w:val="center"/>
          </w:tcPr>
          <w:p w14:paraId="49C66BCC">
            <w:pPr>
              <w:widowControl/>
              <w:snapToGrid w:val="0"/>
              <w:spacing w:line="300" w:lineRule="exact"/>
              <w:jc w:val="center"/>
              <w:textAlignment w:val="center"/>
              <w:rPr>
                <w:rFonts w:ascii="Times New Roman" w:hAnsi="Times New Roman" w:eastAsia="方正仿宋_GBK"/>
                <w:b/>
                <w:bCs/>
                <w:color w:val="000000"/>
                <w:sz w:val="24"/>
                <w:highlight w:val="none"/>
              </w:rPr>
            </w:pPr>
            <w:r>
              <w:rPr>
                <w:rFonts w:ascii="Times New Roman" w:hAnsi="Times New Roman" w:eastAsia="方正仿宋_GBK"/>
                <w:b/>
                <w:bCs/>
                <w:color w:val="000000"/>
                <w:kern w:val="0"/>
                <w:sz w:val="24"/>
                <w:highlight w:val="none"/>
                <w:lang w:bidi="ar"/>
              </w:rPr>
              <w:t>备注</w:t>
            </w:r>
          </w:p>
        </w:tc>
      </w:tr>
      <w:tr w14:paraId="4C2D6409">
        <w:tblPrEx>
          <w:tblCellMar>
            <w:top w:w="0" w:type="dxa"/>
            <w:left w:w="108" w:type="dxa"/>
            <w:bottom w:w="0" w:type="dxa"/>
            <w:right w:w="108" w:type="dxa"/>
          </w:tblCellMar>
        </w:tblPrEx>
        <w:trPr>
          <w:trHeight w:val="869"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2C6E0942">
            <w:pPr>
              <w:widowControl/>
              <w:snapToGrid w:val="0"/>
              <w:spacing w:line="300" w:lineRule="exact"/>
              <w:jc w:val="center"/>
              <w:textAlignment w:val="center"/>
              <w:rPr>
                <w:rFonts w:ascii="Times New Roman" w:hAnsi="Times New Roman" w:eastAsia="方正仿宋_GBK"/>
                <w:color w:val="000000"/>
                <w:sz w:val="24"/>
                <w:highlight w:val="none"/>
              </w:rPr>
            </w:pPr>
            <w:r>
              <w:rPr>
                <w:rFonts w:ascii="Times New Roman" w:hAnsi="Times New Roman" w:eastAsia="方正仿宋_GBK"/>
                <w:color w:val="000000"/>
                <w:kern w:val="0"/>
                <w:sz w:val="24"/>
                <w:highlight w:val="none"/>
                <w:lang w:bidi="ar"/>
              </w:rPr>
              <w:t>1</w:t>
            </w:r>
          </w:p>
        </w:tc>
        <w:tc>
          <w:tcPr>
            <w:tcW w:w="1551" w:type="dxa"/>
            <w:vMerge w:val="restart"/>
            <w:tcBorders>
              <w:top w:val="single" w:color="auto" w:sz="4" w:space="0"/>
              <w:left w:val="single" w:color="auto" w:sz="4" w:space="0"/>
              <w:right w:val="single" w:color="auto" w:sz="4" w:space="0"/>
            </w:tcBorders>
            <w:vAlign w:val="center"/>
          </w:tcPr>
          <w:p w14:paraId="2761AACA">
            <w:pPr>
              <w:widowControl/>
              <w:snapToGrid w:val="0"/>
              <w:spacing w:line="300" w:lineRule="exact"/>
              <w:jc w:val="center"/>
              <w:textAlignment w:val="center"/>
              <w:rPr>
                <w:rFonts w:hint="default" w:ascii="Times New Roman" w:hAnsi="Times New Roman" w:eastAsia="方正仿宋_GBK"/>
                <w:color w:val="000000"/>
                <w:sz w:val="24"/>
                <w:highlight w:val="none"/>
                <w:lang w:val="en-US" w:eastAsia="zh-CN"/>
              </w:rPr>
            </w:pPr>
            <w:r>
              <w:rPr>
                <w:rFonts w:hint="eastAsia" w:ascii="Times New Roman" w:hAnsi="Times New Roman" w:eastAsia="方正仿宋_GBK"/>
                <w:color w:val="000000"/>
                <w:sz w:val="24"/>
                <w:highlight w:val="none"/>
                <w:lang w:val="en-US" w:eastAsia="zh-CN"/>
              </w:rPr>
              <w:t>36平方米形象展区</w:t>
            </w:r>
            <w:r>
              <w:rPr>
                <w:rFonts w:hint="eastAsia" w:eastAsia="方正仿宋_GBK"/>
                <w:color w:val="000000"/>
                <w:sz w:val="24"/>
                <w:highlight w:val="none"/>
                <w:lang w:val="en-US" w:eastAsia="zh-CN"/>
              </w:rPr>
              <w:t>搭建</w:t>
            </w:r>
          </w:p>
        </w:tc>
        <w:tc>
          <w:tcPr>
            <w:tcW w:w="2162" w:type="dxa"/>
            <w:tcBorders>
              <w:top w:val="single" w:color="auto" w:sz="4" w:space="0"/>
              <w:left w:val="single" w:color="auto" w:sz="4" w:space="0"/>
              <w:bottom w:val="single" w:color="auto" w:sz="4" w:space="0"/>
              <w:right w:val="single" w:color="auto" w:sz="4" w:space="0"/>
            </w:tcBorders>
            <w:vAlign w:val="center"/>
          </w:tcPr>
          <w:p w14:paraId="68E1DF1F">
            <w:pPr>
              <w:widowControl/>
              <w:snapToGrid w:val="0"/>
              <w:spacing w:line="300" w:lineRule="exact"/>
              <w:jc w:val="center"/>
              <w:textAlignment w:val="center"/>
              <w:rPr>
                <w:rFonts w:ascii="Times New Roman" w:hAnsi="Times New Roman" w:eastAsia="方正仿宋_GBK"/>
                <w:color w:val="000000"/>
                <w:sz w:val="24"/>
                <w:highlight w:val="none"/>
              </w:rPr>
            </w:pPr>
            <w:r>
              <w:rPr>
                <w:rFonts w:hint="eastAsia" w:eastAsia="方正仿宋_GBK"/>
                <w:color w:val="000000"/>
                <w:sz w:val="24"/>
                <w:highlight w:val="none"/>
                <w:lang w:val="en-US" w:eastAsia="zh-CN"/>
              </w:rPr>
              <w:t>展位</w:t>
            </w:r>
            <w:r>
              <w:rPr>
                <w:rFonts w:ascii="Times New Roman" w:hAnsi="Times New Roman" w:eastAsia="方正仿宋_GBK"/>
                <w:color w:val="000000"/>
                <w:sz w:val="24"/>
                <w:highlight w:val="none"/>
              </w:rPr>
              <w:t>费</w:t>
            </w:r>
          </w:p>
        </w:tc>
        <w:tc>
          <w:tcPr>
            <w:tcW w:w="1577" w:type="dxa"/>
            <w:tcBorders>
              <w:top w:val="single" w:color="auto" w:sz="4" w:space="0"/>
              <w:left w:val="single" w:color="auto" w:sz="4" w:space="0"/>
              <w:bottom w:val="single" w:color="auto" w:sz="4" w:space="0"/>
              <w:right w:val="single" w:color="auto" w:sz="4" w:space="0"/>
            </w:tcBorders>
            <w:vAlign w:val="center"/>
          </w:tcPr>
          <w:p w14:paraId="3C399D00">
            <w:pPr>
              <w:widowControl/>
              <w:snapToGrid w:val="0"/>
              <w:spacing w:line="300" w:lineRule="exact"/>
              <w:jc w:val="center"/>
              <w:textAlignment w:val="center"/>
              <w:rPr>
                <w:rFonts w:ascii="Times New Roman" w:hAnsi="Times New Roman" w:eastAsia="方正仿宋_GBK"/>
                <w:color w:val="000000"/>
                <w:sz w:val="24"/>
                <w:highlight w:val="none"/>
              </w:rPr>
            </w:pPr>
          </w:p>
        </w:tc>
        <w:tc>
          <w:tcPr>
            <w:tcW w:w="4027" w:type="dxa"/>
            <w:tcBorders>
              <w:top w:val="single" w:color="auto" w:sz="4" w:space="0"/>
              <w:left w:val="single" w:color="auto" w:sz="4" w:space="0"/>
              <w:bottom w:val="single" w:color="auto" w:sz="4" w:space="0"/>
              <w:right w:val="single" w:color="auto" w:sz="4" w:space="0"/>
            </w:tcBorders>
            <w:vAlign w:val="center"/>
          </w:tcPr>
          <w:p w14:paraId="0948E2B1">
            <w:pPr>
              <w:widowControl/>
              <w:snapToGrid w:val="0"/>
              <w:spacing w:line="300" w:lineRule="exact"/>
              <w:textAlignment w:val="center"/>
              <w:rPr>
                <w:rFonts w:ascii="Times New Roman" w:hAnsi="Times New Roman" w:eastAsia="方正仿宋_GBK"/>
                <w:color w:val="000000"/>
                <w:sz w:val="24"/>
                <w:highlight w:val="none"/>
              </w:rPr>
            </w:pPr>
          </w:p>
        </w:tc>
      </w:tr>
      <w:tr w14:paraId="4D923216">
        <w:tblPrEx>
          <w:tblCellMar>
            <w:top w:w="0" w:type="dxa"/>
            <w:left w:w="108" w:type="dxa"/>
            <w:bottom w:w="0" w:type="dxa"/>
            <w:right w:w="108" w:type="dxa"/>
          </w:tblCellMar>
        </w:tblPrEx>
        <w:trPr>
          <w:trHeight w:val="822"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04638EE8">
            <w:pPr>
              <w:widowControl/>
              <w:snapToGrid w:val="0"/>
              <w:spacing w:line="300" w:lineRule="exact"/>
              <w:jc w:val="center"/>
              <w:textAlignment w:val="center"/>
              <w:rPr>
                <w:rFonts w:ascii="Times New Roman" w:hAnsi="Times New Roman" w:eastAsia="方正仿宋_GBK"/>
                <w:color w:val="000000"/>
                <w:sz w:val="24"/>
                <w:highlight w:val="none"/>
              </w:rPr>
            </w:pPr>
            <w:r>
              <w:rPr>
                <w:rFonts w:ascii="Times New Roman" w:hAnsi="Times New Roman" w:eastAsia="方正仿宋_GBK"/>
                <w:color w:val="000000"/>
                <w:kern w:val="0"/>
                <w:sz w:val="24"/>
                <w:highlight w:val="none"/>
                <w:lang w:bidi="ar"/>
              </w:rPr>
              <w:t>2</w:t>
            </w:r>
          </w:p>
        </w:tc>
        <w:tc>
          <w:tcPr>
            <w:tcW w:w="1551" w:type="dxa"/>
            <w:vMerge w:val="continue"/>
            <w:tcBorders>
              <w:left w:val="single" w:color="auto" w:sz="4" w:space="0"/>
              <w:right w:val="single" w:color="auto" w:sz="4" w:space="0"/>
            </w:tcBorders>
            <w:vAlign w:val="center"/>
          </w:tcPr>
          <w:p w14:paraId="7A6E0164">
            <w:pPr>
              <w:snapToGrid w:val="0"/>
              <w:spacing w:line="300" w:lineRule="exact"/>
              <w:jc w:val="center"/>
              <w:rPr>
                <w:rFonts w:ascii="Times New Roman" w:hAnsi="Times New Roman" w:eastAsia="方正仿宋_GBK"/>
                <w:color w:val="000000"/>
                <w:sz w:val="24"/>
                <w:highlight w:val="none"/>
              </w:rPr>
            </w:pPr>
          </w:p>
        </w:tc>
        <w:tc>
          <w:tcPr>
            <w:tcW w:w="2162" w:type="dxa"/>
            <w:tcBorders>
              <w:top w:val="single" w:color="auto" w:sz="4" w:space="0"/>
              <w:left w:val="single" w:color="auto" w:sz="4" w:space="0"/>
              <w:bottom w:val="single" w:color="auto" w:sz="4" w:space="0"/>
              <w:right w:val="single" w:color="auto" w:sz="4" w:space="0"/>
            </w:tcBorders>
            <w:vAlign w:val="center"/>
          </w:tcPr>
          <w:p w14:paraId="6938527C">
            <w:pPr>
              <w:widowControl/>
              <w:snapToGrid w:val="0"/>
              <w:spacing w:line="300" w:lineRule="exact"/>
              <w:jc w:val="center"/>
              <w:textAlignment w:val="center"/>
              <w:rPr>
                <w:rFonts w:ascii="Times New Roman" w:hAnsi="Times New Roman" w:eastAsia="方正仿宋_GBK"/>
                <w:color w:val="000000"/>
                <w:sz w:val="24"/>
                <w:highlight w:val="none"/>
              </w:rPr>
            </w:pPr>
            <w:r>
              <w:rPr>
                <w:rFonts w:hint="eastAsia" w:eastAsia="方正仿宋_GBK"/>
                <w:color w:val="000000"/>
                <w:sz w:val="24"/>
                <w:highlight w:val="none"/>
                <w:lang w:val="en-US" w:eastAsia="zh-CN"/>
              </w:rPr>
              <w:t>搭建</w:t>
            </w:r>
            <w:r>
              <w:rPr>
                <w:rFonts w:ascii="Times New Roman" w:hAnsi="Times New Roman" w:eastAsia="方正仿宋_GBK"/>
                <w:color w:val="000000"/>
                <w:sz w:val="24"/>
                <w:highlight w:val="none"/>
              </w:rPr>
              <w:t>费</w:t>
            </w:r>
          </w:p>
        </w:tc>
        <w:tc>
          <w:tcPr>
            <w:tcW w:w="1577" w:type="dxa"/>
            <w:tcBorders>
              <w:top w:val="single" w:color="auto" w:sz="4" w:space="0"/>
              <w:left w:val="single" w:color="auto" w:sz="4" w:space="0"/>
              <w:bottom w:val="single" w:color="auto" w:sz="4" w:space="0"/>
              <w:right w:val="single" w:color="auto" w:sz="4" w:space="0"/>
            </w:tcBorders>
            <w:vAlign w:val="center"/>
          </w:tcPr>
          <w:p w14:paraId="30C15450">
            <w:pPr>
              <w:snapToGrid w:val="0"/>
              <w:spacing w:line="300" w:lineRule="exact"/>
              <w:jc w:val="center"/>
              <w:rPr>
                <w:rFonts w:ascii="Times New Roman" w:hAnsi="Times New Roman" w:eastAsia="方正仿宋_GBK"/>
                <w:color w:val="000000"/>
                <w:sz w:val="24"/>
                <w:highlight w:val="none"/>
              </w:rPr>
            </w:pPr>
          </w:p>
        </w:tc>
        <w:tc>
          <w:tcPr>
            <w:tcW w:w="4027" w:type="dxa"/>
            <w:tcBorders>
              <w:top w:val="single" w:color="auto" w:sz="4" w:space="0"/>
              <w:left w:val="single" w:color="auto" w:sz="4" w:space="0"/>
              <w:bottom w:val="single" w:color="auto" w:sz="4" w:space="0"/>
              <w:right w:val="single" w:color="auto" w:sz="4" w:space="0"/>
            </w:tcBorders>
            <w:vAlign w:val="center"/>
          </w:tcPr>
          <w:p w14:paraId="03CC3ECF">
            <w:pPr>
              <w:widowControl/>
              <w:snapToGrid w:val="0"/>
              <w:spacing w:line="300" w:lineRule="exact"/>
              <w:jc w:val="center"/>
              <w:textAlignment w:val="center"/>
              <w:rPr>
                <w:rFonts w:ascii="Times New Roman" w:hAnsi="Times New Roman" w:eastAsia="方正仿宋_GBK"/>
                <w:color w:val="000000"/>
                <w:sz w:val="24"/>
                <w:highlight w:val="none"/>
              </w:rPr>
            </w:pPr>
          </w:p>
        </w:tc>
      </w:tr>
      <w:tr w14:paraId="0E5C0B6F">
        <w:tblPrEx>
          <w:tblCellMar>
            <w:top w:w="0" w:type="dxa"/>
            <w:left w:w="108" w:type="dxa"/>
            <w:bottom w:w="0" w:type="dxa"/>
            <w:right w:w="108" w:type="dxa"/>
          </w:tblCellMar>
        </w:tblPrEx>
        <w:trPr>
          <w:trHeight w:val="944" w:hRule="atLeast"/>
          <w:jc w:val="center"/>
        </w:trPr>
        <w:tc>
          <w:tcPr>
            <w:tcW w:w="731" w:type="dxa"/>
            <w:tcBorders>
              <w:top w:val="single" w:color="auto" w:sz="4" w:space="0"/>
              <w:left w:val="single" w:color="auto" w:sz="4" w:space="0"/>
              <w:bottom w:val="single" w:color="auto" w:sz="4" w:space="0"/>
              <w:right w:val="single" w:color="auto" w:sz="4" w:space="0"/>
            </w:tcBorders>
            <w:shd w:val="clear" w:color="auto" w:fill="auto"/>
            <w:vAlign w:val="center"/>
          </w:tcPr>
          <w:p w14:paraId="79407D75">
            <w:pPr>
              <w:widowControl/>
              <w:snapToGrid w:val="0"/>
              <w:spacing w:line="300" w:lineRule="exact"/>
              <w:jc w:val="center"/>
              <w:textAlignment w:val="center"/>
              <w:rPr>
                <w:rFonts w:ascii="Times New Roman" w:hAnsi="Times New Roman" w:eastAsia="方正仿宋_GBK" w:cs="Times New Roman"/>
                <w:color w:val="000000"/>
                <w:kern w:val="2"/>
                <w:sz w:val="24"/>
                <w:highlight w:val="none"/>
                <w:lang w:val="en-US" w:eastAsia="zh-CN" w:bidi="ar-SA"/>
              </w:rPr>
            </w:pPr>
            <w:r>
              <w:rPr>
                <w:rFonts w:ascii="Times New Roman" w:hAnsi="Times New Roman" w:eastAsia="方正仿宋_GBK"/>
                <w:color w:val="000000"/>
                <w:kern w:val="0"/>
                <w:sz w:val="24"/>
                <w:highlight w:val="none"/>
                <w:lang w:bidi="ar"/>
              </w:rPr>
              <w:t>3</w:t>
            </w:r>
          </w:p>
        </w:tc>
        <w:tc>
          <w:tcPr>
            <w:tcW w:w="1551" w:type="dxa"/>
            <w:vMerge w:val="restart"/>
            <w:tcBorders>
              <w:top w:val="single" w:color="auto" w:sz="4" w:space="0"/>
              <w:left w:val="single" w:color="auto" w:sz="4" w:space="0"/>
              <w:right w:val="single" w:color="auto" w:sz="4" w:space="0"/>
            </w:tcBorders>
            <w:vAlign w:val="center"/>
          </w:tcPr>
          <w:p w14:paraId="100A0220">
            <w:pPr>
              <w:snapToGrid w:val="0"/>
              <w:spacing w:line="300" w:lineRule="exact"/>
              <w:jc w:val="center"/>
              <w:rPr>
                <w:rFonts w:ascii="Times New Roman" w:hAnsi="Times New Roman" w:eastAsia="方正仿宋_GBK"/>
                <w:color w:val="000000"/>
                <w:sz w:val="24"/>
              </w:rPr>
            </w:pPr>
            <w:r>
              <w:rPr>
                <w:rFonts w:hint="eastAsia" w:ascii="Times New Roman" w:hAnsi="Times New Roman" w:eastAsia="方正仿宋_GBK"/>
                <w:color w:val="000000"/>
                <w:sz w:val="24"/>
              </w:rPr>
              <w:t>“渝贸全球”开馆仪式、中国（重庆）—意大利企业简易对接会</w:t>
            </w:r>
          </w:p>
        </w:tc>
        <w:tc>
          <w:tcPr>
            <w:tcW w:w="2162" w:type="dxa"/>
            <w:tcBorders>
              <w:top w:val="single" w:color="auto" w:sz="4" w:space="0"/>
              <w:left w:val="single" w:color="auto" w:sz="4" w:space="0"/>
              <w:bottom w:val="single" w:color="auto" w:sz="4" w:space="0"/>
              <w:right w:val="single" w:color="auto" w:sz="4" w:space="0"/>
            </w:tcBorders>
            <w:vAlign w:val="center"/>
          </w:tcPr>
          <w:p w14:paraId="6B003FEB">
            <w:pPr>
              <w:widowControl w:val="0"/>
              <w:spacing w:line="280" w:lineRule="exact"/>
              <w:jc w:val="center"/>
              <w:rPr>
                <w:rFonts w:ascii="Times New Roman" w:hAnsi="Times New Roman" w:eastAsia="方正仿宋_GBK"/>
                <w:color w:val="000000"/>
                <w:sz w:val="24"/>
                <w:szCs w:val="24"/>
                <w:highlight w:val="yellow"/>
              </w:rPr>
            </w:pPr>
            <w:r>
              <w:rPr>
                <w:rFonts w:ascii="Times New Roman" w:hAnsi="Times New Roman" w:eastAsia="方正仿宋_GBK" w:cs="Times New Roman"/>
                <w:kern w:val="2"/>
                <w:sz w:val="24"/>
                <w:szCs w:val="24"/>
              </w:rPr>
              <w:t>搭建</w:t>
            </w:r>
            <w:r>
              <w:rPr>
                <w:rFonts w:hint="eastAsia" w:eastAsia="方正仿宋_GBK" w:cs="Times New Roman"/>
                <w:kern w:val="2"/>
                <w:sz w:val="24"/>
                <w:szCs w:val="24"/>
                <w:lang w:val="en-US" w:eastAsia="zh-CN"/>
              </w:rPr>
              <w:t>主席</w:t>
            </w:r>
            <w:r>
              <w:rPr>
                <w:rFonts w:ascii="Times New Roman" w:hAnsi="Times New Roman" w:eastAsia="方正仿宋_GBK" w:cs="Times New Roman"/>
                <w:kern w:val="2"/>
                <w:sz w:val="24"/>
                <w:szCs w:val="24"/>
              </w:rPr>
              <w:t>台音响话筒设备</w:t>
            </w:r>
            <w:r>
              <w:rPr>
                <w:rFonts w:hint="eastAsia" w:ascii="Times New Roman" w:hAnsi="Times New Roman" w:eastAsia="方正仿宋_GBK" w:cs="Times New Roman"/>
                <w:kern w:val="2"/>
                <w:sz w:val="24"/>
                <w:szCs w:val="24"/>
                <w:lang w:val="en-US" w:eastAsia="zh-CN"/>
              </w:rPr>
              <w:t>物料</w:t>
            </w:r>
            <w:r>
              <w:rPr>
                <w:rFonts w:ascii="Times New Roman" w:hAnsi="Times New Roman" w:eastAsia="方正仿宋_GBK" w:cs="Times New Roman"/>
                <w:kern w:val="2"/>
                <w:sz w:val="24"/>
                <w:szCs w:val="24"/>
              </w:rPr>
              <w:t>等</w:t>
            </w:r>
          </w:p>
        </w:tc>
        <w:tc>
          <w:tcPr>
            <w:tcW w:w="1577" w:type="dxa"/>
            <w:tcBorders>
              <w:top w:val="single" w:color="auto" w:sz="4" w:space="0"/>
              <w:left w:val="single" w:color="auto" w:sz="4" w:space="0"/>
              <w:bottom w:val="single" w:color="auto" w:sz="4" w:space="0"/>
              <w:right w:val="single" w:color="auto" w:sz="4" w:space="0"/>
            </w:tcBorders>
            <w:vAlign w:val="center"/>
          </w:tcPr>
          <w:p w14:paraId="03A1005A">
            <w:pPr>
              <w:snapToGrid w:val="0"/>
              <w:spacing w:line="300" w:lineRule="exact"/>
              <w:jc w:val="center"/>
              <w:rPr>
                <w:rFonts w:ascii="Times New Roman" w:hAnsi="Times New Roman" w:eastAsia="方正仿宋_GBK"/>
                <w:color w:val="000000"/>
                <w:sz w:val="24"/>
              </w:rPr>
            </w:pPr>
          </w:p>
        </w:tc>
        <w:tc>
          <w:tcPr>
            <w:tcW w:w="4027" w:type="dxa"/>
            <w:tcBorders>
              <w:top w:val="single" w:color="auto" w:sz="4" w:space="0"/>
              <w:left w:val="single" w:color="auto" w:sz="4" w:space="0"/>
              <w:bottom w:val="single" w:color="auto" w:sz="4" w:space="0"/>
              <w:right w:val="single" w:color="auto" w:sz="4" w:space="0"/>
            </w:tcBorders>
            <w:vAlign w:val="center"/>
          </w:tcPr>
          <w:p w14:paraId="5297386A">
            <w:pPr>
              <w:widowControl/>
              <w:snapToGrid w:val="0"/>
              <w:spacing w:line="300" w:lineRule="exact"/>
              <w:jc w:val="left"/>
              <w:textAlignment w:val="center"/>
              <w:rPr>
                <w:rFonts w:ascii="Times New Roman" w:hAnsi="Times New Roman" w:eastAsia="方正仿宋_GBK"/>
                <w:color w:val="000000"/>
                <w:sz w:val="24"/>
              </w:rPr>
            </w:pPr>
          </w:p>
        </w:tc>
      </w:tr>
      <w:tr w14:paraId="318F62B4">
        <w:tblPrEx>
          <w:tblCellMar>
            <w:top w:w="0" w:type="dxa"/>
            <w:left w:w="108" w:type="dxa"/>
            <w:bottom w:w="0" w:type="dxa"/>
            <w:right w:w="108" w:type="dxa"/>
          </w:tblCellMar>
        </w:tblPrEx>
        <w:trPr>
          <w:trHeight w:val="804" w:hRule="atLeast"/>
          <w:jc w:val="center"/>
        </w:trPr>
        <w:tc>
          <w:tcPr>
            <w:tcW w:w="731" w:type="dxa"/>
            <w:tcBorders>
              <w:top w:val="single" w:color="auto" w:sz="4" w:space="0"/>
              <w:left w:val="single" w:color="auto" w:sz="4" w:space="0"/>
              <w:bottom w:val="single" w:color="auto" w:sz="4" w:space="0"/>
              <w:right w:val="single" w:color="auto" w:sz="4" w:space="0"/>
            </w:tcBorders>
            <w:shd w:val="clear" w:color="auto" w:fill="auto"/>
            <w:vAlign w:val="center"/>
          </w:tcPr>
          <w:p w14:paraId="7C2F5B64">
            <w:pPr>
              <w:widowControl/>
              <w:snapToGrid w:val="0"/>
              <w:spacing w:line="300" w:lineRule="exact"/>
              <w:jc w:val="center"/>
              <w:textAlignment w:val="center"/>
              <w:rPr>
                <w:rFonts w:ascii="Times New Roman" w:hAnsi="Times New Roman" w:eastAsia="方正仿宋_GBK" w:cs="Times New Roman"/>
                <w:color w:val="000000"/>
                <w:kern w:val="2"/>
                <w:sz w:val="24"/>
                <w:highlight w:val="none"/>
                <w:lang w:val="en-US" w:eastAsia="zh-CN" w:bidi="ar-SA"/>
              </w:rPr>
            </w:pPr>
            <w:r>
              <w:rPr>
                <w:rFonts w:ascii="Times New Roman" w:hAnsi="Times New Roman" w:eastAsia="方正仿宋_GBK"/>
                <w:color w:val="000000"/>
                <w:kern w:val="0"/>
                <w:sz w:val="24"/>
                <w:highlight w:val="none"/>
                <w:lang w:bidi="ar"/>
              </w:rPr>
              <w:t>4</w:t>
            </w:r>
          </w:p>
        </w:tc>
        <w:tc>
          <w:tcPr>
            <w:tcW w:w="1551" w:type="dxa"/>
            <w:vMerge w:val="continue"/>
            <w:tcBorders>
              <w:left w:val="single" w:color="auto" w:sz="4" w:space="0"/>
              <w:right w:val="single" w:color="auto" w:sz="4" w:space="0"/>
            </w:tcBorders>
            <w:vAlign w:val="center"/>
          </w:tcPr>
          <w:p w14:paraId="3FD202C4">
            <w:pPr>
              <w:snapToGrid w:val="0"/>
              <w:spacing w:line="300" w:lineRule="exact"/>
              <w:jc w:val="center"/>
              <w:rPr>
                <w:rFonts w:ascii="Times New Roman" w:hAnsi="Times New Roman" w:eastAsia="方正仿宋_GBK"/>
                <w:color w:val="000000"/>
                <w:sz w:val="24"/>
              </w:rPr>
            </w:pPr>
          </w:p>
        </w:tc>
        <w:tc>
          <w:tcPr>
            <w:tcW w:w="2162" w:type="dxa"/>
            <w:tcBorders>
              <w:top w:val="single" w:color="auto" w:sz="4" w:space="0"/>
              <w:left w:val="single" w:color="auto" w:sz="4" w:space="0"/>
              <w:bottom w:val="single" w:color="auto" w:sz="4" w:space="0"/>
              <w:right w:val="single" w:color="auto" w:sz="4" w:space="0"/>
            </w:tcBorders>
            <w:vAlign w:val="center"/>
          </w:tcPr>
          <w:p w14:paraId="76C0E15B">
            <w:pPr>
              <w:widowControl w:val="0"/>
              <w:spacing w:line="280" w:lineRule="exact"/>
              <w:jc w:val="center"/>
              <w:rPr>
                <w:rFonts w:ascii="Times New Roman" w:hAnsi="Times New Roman" w:eastAsia="方正仿宋_GBK"/>
                <w:color w:val="000000"/>
                <w:sz w:val="24"/>
                <w:szCs w:val="24"/>
                <w:highlight w:val="yellow"/>
              </w:rPr>
            </w:pPr>
            <w:r>
              <w:rPr>
                <w:rFonts w:ascii="Times New Roman" w:hAnsi="Times New Roman" w:eastAsia="方正仿宋_GBK" w:cs="Times New Roman"/>
                <w:kern w:val="2"/>
                <w:sz w:val="24"/>
                <w:szCs w:val="24"/>
              </w:rPr>
              <w:t>客商组织</w:t>
            </w:r>
          </w:p>
        </w:tc>
        <w:tc>
          <w:tcPr>
            <w:tcW w:w="1577" w:type="dxa"/>
            <w:tcBorders>
              <w:top w:val="single" w:color="auto" w:sz="4" w:space="0"/>
              <w:left w:val="single" w:color="auto" w:sz="4" w:space="0"/>
              <w:bottom w:val="single" w:color="auto" w:sz="4" w:space="0"/>
              <w:right w:val="single" w:color="auto" w:sz="4" w:space="0"/>
            </w:tcBorders>
            <w:vAlign w:val="center"/>
          </w:tcPr>
          <w:p w14:paraId="60925D30">
            <w:pPr>
              <w:snapToGrid w:val="0"/>
              <w:spacing w:line="300" w:lineRule="exact"/>
              <w:jc w:val="center"/>
              <w:rPr>
                <w:rFonts w:ascii="Times New Roman" w:hAnsi="Times New Roman" w:eastAsia="方正仿宋_GBK"/>
                <w:color w:val="000000"/>
                <w:sz w:val="24"/>
              </w:rPr>
            </w:pPr>
          </w:p>
        </w:tc>
        <w:tc>
          <w:tcPr>
            <w:tcW w:w="4027" w:type="dxa"/>
            <w:tcBorders>
              <w:top w:val="single" w:color="auto" w:sz="4" w:space="0"/>
              <w:left w:val="single" w:color="auto" w:sz="4" w:space="0"/>
              <w:bottom w:val="single" w:color="auto" w:sz="4" w:space="0"/>
              <w:right w:val="single" w:color="auto" w:sz="4" w:space="0"/>
            </w:tcBorders>
            <w:vAlign w:val="center"/>
          </w:tcPr>
          <w:p w14:paraId="6A0DE176">
            <w:pPr>
              <w:widowControl/>
              <w:snapToGrid w:val="0"/>
              <w:spacing w:line="300" w:lineRule="exact"/>
              <w:jc w:val="left"/>
              <w:textAlignment w:val="center"/>
              <w:rPr>
                <w:rFonts w:ascii="Times New Roman" w:hAnsi="Times New Roman" w:eastAsia="方正仿宋_GBK"/>
                <w:color w:val="000000"/>
                <w:sz w:val="24"/>
              </w:rPr>
            </w:pPr>
          </w:p>
        </w:tc>
      </w:tr>
      <w:tr w14:paraId="6EDB62B2">
        <w:tblPrEx>
          <w:tblCellMar>
            <w:top w:w="0" w:type="dxa"/>
            <w:left w:w="108" w:type="dxa"/>
            <w:bottom w:w="0" w:type="dxa"/>
            <w:right w:w="108" w:type="dxa"/>
          </w:tblCellMar>
        </w:tblPrEx>
        <w:trPr>
          <w:trHeight w:val="947" w:hRule="atLeast"/>
          <w:jc w:val="center"/>
        </w:trPr>
        <w:tc>
          <w:tcPr>
            <w:tcW w:w="731" w:type="dxa"/>
            <w:tcBorders>
              <w:top w:val="single" w:color="auto" w:sz="4" w:space="0"/>
              <w:left w:val="single" w:color="auto" w:sz="4" w:space="0"/>
              <w:bottom w:val="single" w:color="auto" w:sz="4" w:space="0"/>
              <w:right w:val="single" w:color="auto" w:sz="4" w:space="0"/>
            </w:tcBorders>
            <w:shd w:val="clear" w:color="auto" w:fill="auto"/>
            <w:vAlign w:val="center"/>
          </w:tcPr>
          <w:p w14:paraId="64CA7060">
            <w:pPr>
              <w:widowControl/>
              <w:snapToGrid w:val="0"/>
              <w:spacing w:line="300" w:lineRule="exact"/>
              <w:jc w:val="center"/>
              <w:textAlignment w:val="center"/>
              <w:rPr>
                <w:rFonts w:ascii="Times New Roman" w:hAnsi="Times New Roman" w:eastAsia="方正仿宋_GBK" w:cs="Times New Roman"/>
                <w:color w:val="000000"/>
                <w:kern w:val="2"/>
                <w:sz w:val="24"/>
                <w:highlight w:val="none"/>
                <w:lang w:val="en-US" w:eastAsia="zh-CN" w:bidi="ar-SA"/>
              </w:rPr>
            </w:pPr>
            <w:r>
              <w:rPr>
                <w:rFonts w:ascii="Times New Roman" w:hAnsi="Times New Roman" w:eastAsia="方正仿宋_GBK"/>
                <w:color w:val="000000"/>
                <w:kern w:val="0"/>
                <w:sz w:val="24"/>
                <w:highlight w:val="none"/>
                <w:lang w:bidi="ar"/>
              </w:rPr>
              <w:t>5</w:t>
            </w:r>
          </w:p>
        </w:tc>
        <w:tc>
          <w:tcPr>
            <w:tcW w:w="1551" w:type="dxa"/>
            <w:vMerge w:val="continue"/>
            <w:tcBorders>
              <w:left w:val="single" w:color="auto" w:sz="4" w:space="0"/>
              <w:right w:val="single" w:color="auto" w:sz="4" w:space="0"/>
            </w:tcBorders>
            <w:vAlign w:val="center"/>
          </w:tcPr>
          <w:p w14:paraId="4545FCAC">
            <w:pPr>
              <w:snapToGrid w:val="0"/>
              <w:spacing w:line="300" w:lineRule="exact"/>
              <w:jc w:val="center"/>
              <w:rPr>
                <w:rFonts w:ascii="Times New Roman" w:hAnsi="Times New Roman" w:eastAsia="方正仿宋_GBK"/>
                <w:color w:val="000000"/>
                <w:sz w:val="24"/>
              </w:rPr>
            </w:pPr>
          </w:p>
        </w:tc>
        <w:tc>
          <w:tcPr>
            <w:tcW w:w="2162" w:type="dxa"/>
            <w:tcBorders>
              <w:top w:val="single" w:color="auto" w:sz="4" w:space="0"/>
              <w:left w:val="single" w:color="auto" w:sz="4" w:space="0"/>
              <w:bottom w:val="single" w:color="auto" w:sz="4" w:space="0"/>
              <w:right w:val="single" w:color="auto" w:sz="4" w:space="0"/>
            </w:tcBorders>
            <w:vAlign w:val="center"/>
          </w:tcPr>
          <w:p w14:paraId="28FB3E9C">
            <w:pPr>
              <w:widowControl w:val="0"/>
              <w:spacing w:line="280" w:lineRule="exact"/>
              <w:jc w:val="center"/>
              <w:rPr>
                <w:rFonts w:ascii="Times New Roman" w:hAnsi="Times New Roman" w:eastAsia="方正仿宋_GBK"/>
                <w:color w:val="000000"/>
                <w:sz w:val="24"/>
                <w:szCs w:val="24"/>
                <w:highlight w:val="yellow"/>
              </w:rPr>
            </w:pPr>
            <w:r>
              <w:rPr>
                <w:rFonts w:ascii="Times New Roman" w:hAnsi="Times New Roman" w:eastAsia="方正仿宋_GBK" w:cs="Times New Roman"/>
                <w:kern w:val="2"/>
                <w:sz w:val="24"/>
                <w:szCs w:val="24"/>
              </w:rPr>
              <w:t>翻译、摄影摄像等</w:t>
            </w:r>
          </w:p>
        </w:tc>
        <w:tc>
          <w:tcPr>
            <w:tcW w:w="1577" w:type="dxa"/>
            <w:tcBorders>
              <w:top w:val="single" w:color="auto" w:sz="4" w:space="0"/>
              <w:left w:val="single" w:color="auto" w:sz="4" w:space="0"/>
              <w:bottom w:val="single" w:color="auto" w:sz="4" w:space="0"/>
              <w:right w:val="single" w:color="auto" w:sz="4" w:space="0"/>
            </w:tcBorders>
            <w:vAlign w:val="center"/>
          </w:tcPr>
          <w:p w14:paraId="499D9E45">
            <w:pPr>
              <w:widowControl/>
              <w:snapToGrid w:val="0"/>
              <w:spacing w:line="300" w:lineRule="exact"/>
              <w:jc w:val="center"/>
              <w:textAlignment w:val="center"/>
              <w:rPr>
                <w:rFonts w:ascii="Times New Roman" w:hAnsi="Times New Roman" w:eastAsia="方正仿宋_GBK"/>
                <w:color w:val="000000"/>
                <w:sz w:val="24"/>
              </w:rPr>
            </w:pPr>
          </w:p>
        </w:tc>
        <w:tc>
          <w:tcPr>
            <w:tcW w:w="4027" w:type="dxa"/>
            <w:tcBorders>
              <w:top w:val="single" w:color="auto" w:sz="4" w:space="0"/>
              <w:left w:val="single" w:color="auto" w:sz="4" w:space="0"/>
              <w:bottom w:val="single" w:color="auto" w:sz="4" w:space="0"/>
              <w:right w:val="single" w:color="auto" w:sz="4" w:space="0"/>
            </w:tcBorders>
            <w:vAlign w:val="center"/>
          </w:tcPr>
          <w:p w14:paraId="3ECD8E5D">
            <w:pPr>
              <w:widowControl/>
              <w:snapToGrid w:val="0"/>
              <w:spacing w:line="300" w:lineRule="exact"/>
              <w:jc w:val="left"/>
              <w:textAlignment w:val="center"/>
              <w:rPr>
                <w:rFonts w:ascii="Times New Roman" w:hAnsi="Times New Roman" w:eastAsia="方正仿宋_GBK"/>
                <w:color w:val="000000"/>
                <w:sz w:val="24"/>
              </w:rPr>
            </w:pPr>
          </w:p>
        </w:tc>
      </w:tr>
      <w:tr w14:paraId="1997B6AB">
        <w:tblPrEx>
          <w:tblCellMar>
            <w:top w:w="0" w:type="dxa"/>
            <w:left w:w="108" w:type="dxa"/>
            <w:bottom w:w="0" w:type="dxa"/>
            <w:right w:w="108" w:type="dxa"/>
          </w:tblCellMar>
        </w:tblPrEx>
        <w:trPr>
          <w:trHeight w:val="1177" w:hRule="atLeast"/>
          <w:jc w:val="center"/>
        </w:trPr>
        <w:tc>
          <w:tcPr>
            <w:tcW w:w="731" w:type="dxa"/>
            <w:tcBorders>
              <w:top w:val="single" w:color="auto" w:sz="4" w:space="0"/>
              <w:left w:val="single" w:color="auto" w:sz="4" w:space="0"/>
              <w:bottom w:val="single" w:color="auto" w:sz="4" w:space="0"/>
              <w:right w:val="single" w:color="auto" w:sz="4" w:space="0"/>
            </w:tcBorders>
            <w:shd w:val="clear" w:color="auto" w:fill="auto"/>
            <w:vAlign w:val="center"/>
          </w:tcPr>
          <w:p w14:paraId="7166297E">
            <w:pPr>
              <w:widowControl/>
              <w:snapToGrid w:val="0"/>
              <w:spacing w:line="300" w:lineRule="exact"/>
              <w:jc w:val="center"/>
              <w:textAlignment w:val="center"/>
              <w:rPr>
                <w:rFonts w:ascii="Times New Roman" w:hAnsi="Times New Roman" w:eastAsia="方正仿宋_GBK" w:cs="Times New Roman"/>
                <w:color w:val="000000"/>
                <w:kern w:val="2"/>
                <w:sz w:val="24"/>
                <w:highlight w:val="none"/>
                <w:lang w:val="en-US" w:eastAsia="zh-CN" w:bidi="ar-SA"/>
              </w:rPr>
            </w:pPr>
            <w:r>
              <w:rPr>
                <w:rFonts w:ascii="Times New Roman" w:hAnsi="Times New Roman" w:eastAsia="方正仿宋_GBK"/>
                <w:color w:val="000000"/>
                <w:kern w:val="0"/>
                <w:sz w:val="24"/>
                <w:highlight w:val="none"/>
                <w:lang w:bidi="ar"/>
              </w:rPr>
              <w:t>6</w:t>
            </w:r>
          </w:p>
        </w:tc>
        <w:tc>
          <w:tcPr>
            <w:tcW w:w="1551" w:type="dxa"/>
            <w:vMerge w:val="continue"/>
            <w:tcBorders>
              <w:left w:val="single" w:color="auto" w:sz="4" w:space="0"/>
              <w:right w:val="single" w:color="auto" w:sz="4" w:space="0"/>
            </w:tcBorders>
            <w:vAlign w:val="center"/>
          </w:tcPr>
          <w:p w14:paraId="7752B717">
            <w:pPr>
              <w:snapToGrid w:val="0"/>
              <w:spacing w:line="300" w:lineRule="exact"/>
              <w:jc w:val="center"/>
              <w:rPr>
                <w:rFonts w:ascii="Times New Roman" w:hAnsi="Times New Roman" w:eastAsia="方正仿宋_GBK"/>
                <w:color w:val="000000"/>
                <w:sz w:val="24"/>
              </w:rPr>
            </w:pPr>
          </w:p>
        </w:tc>
        <w:tc>
          <w:tcPr>
            <w:tcW w:w="2162" w:type="dxa"/>
            <w:tcBorders>
              <w:top w:val="single" w:color="auto" w:sz="4" w:space="0"/>
              <w:left w:val="single" w:color="auto" w:sz="4" w:space="0"/>
              <w:bottom w:val="single" w:color="auto" w:sz="4" w:space="0"/>
              <w:right w:val="single" w:color="auto" w:sz="4" w:space="0"/>
            </w:tcBorders>
            <w:vAlign w:val="center"/>
          </w:tcPr>
          <w:p w14:paraId="3B46D1FC">
            <w:pPr>
              <w:widowControl w:val="0"/>
              <w:spacing w:line="280" w:lineRule="exact"/>
              <w:jc w:val="center"/>
              <w:rPr>
                <w:rFonts w:ascii="Times New Roman" w:hAnsi="Times New Roman" w:eastAsia="方正仿宋_GBK"/>
                <w:color w:val="000000"/>
                <w:sz w:val="24"/>
                <w:szCs w:val="24"/>
                <w:highlight w:val="yellow"/>
              </w:rPr>
            </w:pPr>
            <w:r>
              <w:rPr>
                <w:rFonts w:ascii="Times New Roman" w:hAnsi="Times New Roman" w:eastAsia="方正仿宋_GBK" w:cs="Times New Roman"/>
                <w:kern w:val="2"/>
                <w:sz w:val="24"/>
                <w:szCs w:val="24"/>
              </w:rPr>
              <w:t>资料制作及印刷</w:t>
            </w:r>
            <w:r>
              <w:rPr>
                <w:rFonts w:hint="eastAsia" w:ascii="Times New Roman" w:hAnsi="Times New Roman" w:eastAsia="方正仿宋_GBK" w:cs="Times New Roman"/>
                <w:kern w:val="2"/>
                <w:sz w:val="24"/>
                <w:szCs w:val="24"/>
                <w:lang w:eastAsia="zh-CN"/>
              </w:rPr>
              <w:t>、</w:t>
            </w:r>
            <w:r>
              <w:rPr>
                <w:rFonts w:ascii="Times New Roman" w:hAnsi="Times New Roman" w:eastAsia="方正仿宋_GBK" w:cs="Times New Roman"/>
                <w:kern w:val="2"/>
                <w:sz w:val="24"/>
                <w:szCs w:val="24"/>
              </w:rPr>
              <w:t>会场服务及物资</w:t>
            </w:r>
          </w:p>
        </w:tc>
        <w:tc>
          <w:tcPr>
            <w:tcW w:w="1577" w:type="dxa"/>
            <w:tcBorders>
              <w:top w:val="single" w:color="auto" w:sz="4" w:space="0"/>
              <w:left w:val="single" w:color="auto" w:sz="4" w:space="0"/>
              <w:bottom w:val="single" w:color="auto" w:sz="4" w:space="0"/>
              <w:right w:val="single" w:color="auto" w:sz="4" w:space="0"/>
            </w:tcBorders>
            <w:vAlign w:val="center"/>
          </w:tcPr>
          <w:p w14:paraId="26F2884A">
            <w:pPr>
              <w:widowControl/>
              <w:snapToGrid w:val="0"/>
              <w:spacing w:line="300" w:lineRule="exact"/>
              <w:jc w:val="center"/>
              <w:textAlignment w:val="center"/>
              <w:rPr>
                <w:rFonts w:ascii="Times New Roman" w:hAnsi="Times New Roman" w:eastAsia="方正仿宋_GBK"/>
                <w:color w:val="000000"/>
                <w:sz w:val="24"/>
              </w:rPr>
            </w:pPr>
          </w:p>
        </w:tc>
        <w:tc>
          <w:tcPr>
            <w:tcW w:w="4027" w:type="dxa"/>
            <w:tcBorders>
              <w:top w:val="single" w:color="auto" w:sz="4" w:space="0"/>
              <w:left w:val="single" w:color="auto" w:sz="4" w:space="0"/>
              <w:bottom w:val="single" w:color="auto" w:sz="4" w:space="0"/>
              <w:right w:val="single" w:color="auto" w:sz="4" w:space="0"/>
            </w:tcBorders>
            <w:vAlign w:val="center"/>
          </w:tcPr>
          <w:p w14:paraId="41634D42">
            <w:pPr>
              <w:widowControl/>
              <w:snapToGrid w:val="0"/>
              <w:spacing w:line="300" w:lineRule="exact"/>
              <w:jc w:val="left"/>
              <w:textAlignment w:val="center"/>
              <w:rPr>
                <w:rFonts w:ascii="Times New Roman" w:hAnsi="Times New Roman" w:eastAsia="方正仿宋_GBK"/>
                <w:color w:val="000000"/>
                <w:sz w:val="24"/>
              </w:rPr>
            </w:pPr>
          </w:p>
        </w:tc>
      </w:tr>
      <w:tr w14:paraId="5F45AEF6">
        <w:tblPrEx>
          <w:tblCellMar>
            <w:top w:w="0" w:type="dxa"/>
            <w:left w:w="108" w:type="dxa"/>
            <w:bottom w:w="0" w:type="dxa"/>
            <w:right w:w="108" w:type="dxa"/>
          </w:tblCellMar>
        </w:tblPrEx>
        <w:trPr>
          <w:trHeight w:val="985" w:hRule="atLeast"/>
          <w:jc w:val="center"/>
        </w:trPr>
        <w:tc>
          <w:tcPr>
            <w:tcW w:w="4444" w:type="dxa"/>
            <w:gridSpan w:val="3"/>
            <w:tcBorders>
              <w:top w:val="single" w:color="auto" w:sz="4" w:space="0"/>
              <w:left w:val="single" w:color="auto" w:sz="4" w:space="0"/>
              <w:bottom w:val="single" w:color="auto" w:sz="4" w:space="0"/>
              <w:right w:val="single" w:color="auto" w:sz="4" w:space="0"/>
            </w:tcBorders>
            <w:vAlign w:val="center"/>
          </w:tcPr>
          <w:p w14:paraId="3A071E1C">
            <w:pPr>
              <w:widowControl/>
              <w:snapToGrid w:val="0"/>
              <w:spacing w:line="300" w:lineRule="exact"/>
              <w:jc w:val="center"/>
              <w:rPr>
                <w:rFonts w:ascii="Times New Roman" w:hAnsi="Times New Roman" w:eastAsia="方正仿宋_GBK"/>
                <w:color w:val="000000"/>
                <w:kern w:val="0"/>
                <w:sz w:val="24"/>
                <w:lang w:bidi="ar"/>
              </w:rPr>
            </w:pPr>
            <w:r>
              <w:rPr>
                <w:rFonts w:ascii="Times New Roman" w:hAnsi="Times New Roman" w:eastAsia="方正仿宋_GBK"/>
                <w:b/>
                <w:bCs/>
                <w:kern w:val="0"/>
                <w:sz w:val="24"/>
              </w:rPr>
              <w:t>合计</w:t>
            </w:r>
          </w:p>
        </w:tc>
        <w:tc>
          <w:tcPr>
            <w:tcW w:w="5604" w:type="dxa"/>
            <w:gridSpan w:val="2"/>
            <w:tcBorders>
              <w:top w:val="single" w:color="auto" w:sz="4" w:space="0"/>
              <w:left w:val="single" w:color="auto" w:sz="4" w:space="0"/>
              <w:bottom w:val="single" w:color="auto" w:sz="4" w:space="0"/>
              <w:right w:val="single" w:color="auto" w:sz="4" w:space="0"/>
            </w:tcBorders>
            <w:vAlign w:val="center"/>
          </w:tcPr>
          <w:p w14:paraId="0148C7CB">
            <w:pPr>
              <w:widowControl/>
              <w:snapToGrid w:val="0"/>
              <w:spacing w:line="300" w:lineRule="exact"/>
              <w:ind w:firstLine="1205" w:firstLineChars="500"/>
              <w:rPr>
                <w:rFonts w:ascii="Times New Roman" w:hAnsi="Times New Roman" w:eastAsia="方正仿宋_GBK"/>
                <w:b/>
                <w:bCs/>
                <w:kern w:val="0"/>
                <w:sz w:val="24"/>
              </w:rPr>
            </w:pPr>
            <w:r>
              <w:rPr>
                <w:rFonts w:ascii="Times New Roman" w:hAnsi="Times New Roman" w:eastAsia="方正仿宋_GBK"/>
                <w:b/>
                <w:bCs/>
                <w:kern w:val="0"/>
                <w:sz w:val="24"/>
              </w:rPr>
              <w:t>元</w:t>
            </w:r>
          </w:p>
        </w:tc>
      </w:tr>
    </w:tbl>
    <w:p w14:paraId="56DA844D">
      <w:pPr>
        <w:adjustRightInd w:val="0"/>
        <w:snapToGrid w:val="0"/>
        <w:spacing w:line="400" w:lineRule="exact"/>
        <w:ind w:firstLine="480" w:firstLineChars="200"/>
        <w:rPr>
          <w:rFonts w:hint="default" w:ascii="Times New Roman" w:hAnsi="Times New Roman" w:eastAsia="方正仿宋_GBK" w:cs="Times New Roman"/>
          <w:color w:val="000000"/>
          <w:sz w:val="24"/>
        </w:rPr>
      </w:pPr>
    </w:p>
    <w:p w14:paraId="003E9B40">
      <w:pPr>
        <w:pStyle w:val="220"/>
        <w:rPr>
          <w:rFonts w:hint="default" w:ascii="Times New Roman" w:hAnsi="Times New Roman" w:eastAsia="方正仿宋_GBK" w:cs="Times New Roman"/>
          <w:color w:val="000000"/>
          <w:sz w:val="24"/>
        </w:rPr>
      </w:pPr>
    </w:p>
    <w:p w14:paraId="7AEE4ED8">
      <w:pPr>
        <w:spacing w:line="560" w:lineRule="exact"/>
        <w:ind w:right="482"/>
        <w:rPr>
          <w:rFonts w:hint="eastAsia" w:ascii="Times New Roman" w:hAnsi="Times New Roman" w:eastAsia="方正仿宋_GB2312" w:cs="方正仿宋_GB2312"/>
          <w:sz w:val="24"/>
          <w:szCs w:val="24"/>
        </w:rPr>
      </w:pPr>
      <w:r>
        <w:rPr>
          <w:rFonts w:hint="eastAsia" w:ascii="Times New Roman" w:hAnsi="Times New Roman" w:eastAsia="方正仿宋_GB2312" w:cs="方正仿宋_GB2312"/>
          <w:sz w:val="24"/>
          <w:szCs w:val="24"/>
        </w:rPr>
        <w:t>注：1.请供应商根据本单位组价的实际情况自行填写表格，分项的内容不限；</w:t>
      </w:r>
    </w:p>
    <w:p w14:paraId="54903BB1">
      <w:pPr>
        <w:spacing w:line="560" w:lineRule="exact"/>
        <w:ind w:right="482" w:firstLine="480" w:firstLineChars="200"/>
        <w:rPr>
          <w:rFonts w:hint="eastAsia" w:ascii="Times New Roman" w:hAnsi="Times New Roman" w:eastAsia="方正仿宋_GB2312" w:cs="方正仿宋_GB2312"/>
          <w:sz w:val="24"/>
          <w:szCs w:val="24"/>
        </w:rPr>
      </w:pPr>
      <w:r>
        <w:rPr>
          <w:rFonts w:hint="eastAsia" w:ascii="Times New Roman" w:hAnsi="Times New Roman" w:eastAsia="方正仿宋_GB2312" w:cs="方正仿宋_GB2312"/>
          <w:sz w:val="24"/>
          <w:szCs w:val="24"/>
        </w:rPr>
        <w:t>2.若供应商需要对行或列进行扩展的可自行调整。</w:t>
      </w:r>
    </w:p>
    <w:p w14:paraId="759A30CD">
      <w:pPr>
        <w:spacing w:line="560" w:lineRule="exact"/>
        <w:ind w:right="482" w:firstLine="720" w:firstLineChars="300"/>
        <w:rPr>
          <w:rFonts w:hint="eastAsia" w:ascii="Times New Roman" w:hAnsi="Times New Roman" w:eastAsia="方正仿宋_GB2312" w:cs="方正仿宋_GB2312"/>
          <w:sz w:val="24"/>
          <w:szCs w:val="24"/>
        </w:rPr>
      </w:pPr>
      <w:r>
        <w:rPr>
          <w:rFonts w:hint="eastAsia" w:ascii="Times New Roman" w:hAnsi="Times New Roman" w:eastAsia="方正仿宋_GB2312" w:cs="方正仿宋_GB2312"/>
          <w:sz w:val="24"/>
          <w:szCs w:val="24"/>
        </w:rPr>
        <w:t>供应商：                           法定代表人或法定代表人授权代表：</w:t>
      </w:r>
    </w:p>
    <w:p w14:paraId="148F32B8">
      <w:pPr>
        <w:spacing w:line="560" w:lineRule="exact"/>
        <w:ind w:right="482" w:firstLine="480" w:firstLineChars="200"/>
        <w:rPr>
          <w:rFonts w:hint="eastAsia" w:ascii="Times New Roman" w:hAnsi="Times New Roman" w:eastAsia="方正仿宋_GB2312" w:cs="方正仿宋_GB2312"/>
          <w:sz w:val="24"/>
          <w:szCs w:val="24"/>
        </w:rPr>
      </w:pPr>
      <w:r>
        <w:rPr>
          <w:rFonts w:hint="eastAsia" w:ascii="Times New Roman" w:hAnsi="Times New Roman" w:eastAsia="方正仿宋_GB2312" w:cs="方正仿宋_GB2312"/>
          <w:sz w:val="24"/>
          <w:szCs w:val="24"/>
        </w:rPr>
        <w:t xml:space="preserve">（供应商公章）                               （签字或盖章）                                 </w:t>
      </w:r>
    </w:p>
    <w:p w14:paraId="0BA269AE">
      <w:pPr>
        <w:snapToGrid w:val="0"/>
        <w:spacing w:line="360" w:lineRule="auto"/>
        <w:ind w:firstLine="480" w:firstLineChars="200"/>
        <w:jc w:val="right"/>
        <w:rPr>
          <w:rFonts w:hint="eastAsia" w:ascii="Times New Roman" w:hAnsi="Times New Roman" w:eastAsia="方正仿宋_GB2312" w:cs="方正仿宋_GB2312"/>
          <w:color w:val="000000"/>
          <w:sz w:val="24"/>
          <w:szCs w:val="24"/>
        </w:rPr>
      </w:pPr>
    </w:p>
    <w:p w14:paraId="0717CBA6">
      <w:pPr>
        <w:snapToGrid w:val="0"/>
        <w:spacing w:line="360" w:lineRule="auto"/>
        <w:ind w:firstLine="480" w:firstLineChars="200"/>
        <w:jc w:val="right"/>
        <w:rPr>
          <w:rFonts w:hint="default" w:ascii="Times New Roman" w:hAnsi="Times New Roman" w:eastAsia="方正仿宋_GB2312" w:cs="Times New Roman"/>
          <w:sz w:val="24"/>
          <w:szCs w:val="24"/>
          <w:bdr w:val="single" w:color="auto" w:sz="4" w:space="0"/>
        </w:rPr>
        <w:sectPr>
          <w:headerReference r:id="rId15" w:type="default"/>
          <w:footerReference r:id="rId16" w:type="default"/>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2312" w:cs="Times New Roman"/>
          <w:color w:val="000000"/>
          <w:sz w:val="24"/>
          <w:szCs w:val="24"/>
        </w:rPr>
        <w:t xml:space="preserve"> </w:t>
      </w:r>
      <w:r>
        <w:rPr>
          <w:rFonts w:hint="eastAsia" w:eastAsia="方正仿宋_GB2312" w:cs="Times New Roman"/>
          <w:color w:val="000000"/>
          <w:sz w:val="24"/>
          <w:szCs w:val="24"/>
          <w:lang w:val="en-US" w:eastAsia="zh-CN"/>
        </w:rPr>
        <w:t xml:space="preserve"> </w:t>
      </w:r>
      <w:r>
        <w:rPr>
          <w:rFonts w:hint="default" w:ascii="Times New Roman" w:hAnsi="Times New Roman" w:eastAsia="方正仿宋_GB2312" w:cs="Times New Roman"/>
          <w:color w:val="000000"/>
          <w:sz w:val="24"/>
          <w:szCs w:val="24"/>
        </w:rPr>
        <w:t>年</w:t>
      </w:r>
      <w:r>
        <w:rPr>
          <w:rFonts w:hint="eastAsia" w:eastAsia="方正仿宋_GB2312" w:cs="Times New Roman"/>
          <w:color w:val="000000"/>
          <w:sz w:val="24"/>
          <w:szCs w:val="24"/>
          <w:lang w:val="en-US" w:eastAsia="zh-CN"/>
        </w:rPr>
        <w:t xml:space="preserve">   </w:t>
      </w:r>
      <w:r>
        <w:rPr>
          <w:rFonts w:hint="default" w:ascii="Times New Roman" w:hAnsi="Times New Roman" w:eastAsia="方正仿宋_GB2312" w:cs="Times New Roman"/>
          <w:color w:val="000000"/>
          <w:sz w:val="24"/>
          <w:szCs w:val="24"/>
        </w:rPr>
        <w:t>月</w:t>
      </w:r>
      <w:r>
        <w:rPr>
          <w:rFonts w:hint="eastAsia" w:eastAsia="方正仿宋_GB2312" w:cs="Times New Roman"/>
          <w:color w:val="000000"/>
          <w:sz w:val="24"/>
          <w:szCs w:val="24"/>
          <w:lang w:val="en-US" w:eastAsia="zh-CN"/>
        </w:rPr>
        <w:t xml:space="preserve">   </w:t>
      </w:r>
      <w:r>
        <w:rPr>
          <w:rFonts w:hint="default" w:ascii="Times New Roman" w:hAnsi="Times New Roman" w:eastAsia="方正仿宋_GB2312" w:cs="Times New Roman"/>
          <w:color w:val="000000"/>
          <w:sz w:val="24"/>
          <w:szCs w:val="24"/>
          <w:lang w:val="en-US" w:eastAsia="zh-CN"/>
        </w:rPr>
        <w:t>日</w:t>
      </w:r>
    </w:p>
    <w:p w14:paraId="4CFEE27F">
      <w:pPr>
        <w:adjustRightInd w:val="0"/>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二、服务部分</w:t>
      </w:r>
      <w:bookmarkEnd w:id="78"/>
      <w:bookmarkEnd w:id="79"/>
      <w:bookmarkEnd w:id="80"/>
      <w:bookmarkEnd w:id="81"/>
    </w:p>
    <w:p w14:paraId="45AEEEEF">
      <w:pPr>
        <w:tabs>
          <w:tab w:val="left" w:pos="6300"/>
        </w:tabs>
        <w:snapToGrid w:val="0"/>
        <w:spacing w:line="400" w:lineRule="exact"/>
        <w:ind w:firstLine="480" w:firstLineChars="200"/>
        <w:rPr>
          <w:rFonts w:hint="default" w:ascii="Times New Roman" w:hAnsi="Times New Roman" w:eastAsia="方正仿宋_GBK" w:cs="Times New Roman"/>
          <w:color w:val="000000"/>
          <w:szCs w:val="24"/>
        </w:rPr>
      </w:pPr>
      <w:r>
        <w:rPr>
          <w:rFonts w:hint="default" w:ascii="Times New Roman" w:hAnsi="Times New Roman" w:eastAsia="方正仿宋_GBK" w:cs="Times New Roman"/>
          <w:color w:val="000000"/>
          <w:sz w:val="24"/>
          <w:szCs w:val="24"/>
        </w:rPr>
        <w:t>（一）服务响应偏离表</w:t>
      </w:r>
    </w:p>
    <w:p w14:paraId="7C6BC6B5">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14:paraId="6208E92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比选项目名称：</w:t>
      </w:r>
    </w:p>
    <w:tbl>
      <w:tblPr>
        <w:tblStyle w:val="5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14:paraId="184D9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vAlign w:val="center"/>
          </w:tcPr>
          <w:p w14:paraId="37440758">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序号</w:t>
            </w:r>
          </w:p>
        </w:tc>
        <w:tc>
          <w:tcPr>
            <w:tcW w:w="2967" w:type="dxa"/>
            <w:vAlign w:val="center"/>
          </w:tcPr>
          <w:p w14:paraId="6D601652">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采购需求</w:t>
            </w:r>
          </w:p>
        </w:tc>
        <w:tc>
          <w:tcPr>
            <w:tcW w:w="3081" w:type="dxa"/>
            <w:vAlign w:val="center"/>
          </w:tcPr>
          <w:p w14:paraId="4E50532A">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响应情况</w:t>
            </w:r>
          </w:p>
        </w:tc>
        <w:tc>
          <w:tcPr>
            <w:tcW w:w="2309" w:type="dxa"/>
            <w:vAlign w:val="center"/>
          </w:tcPr>
          <w:p w14:paraId="55CFB3F4">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差异说明</w:t>
            </w:r>
          </w:p>
        </w:tc>
      </w:tr>
      <w:tr w14:paraId="52CF6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B81CFD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A0ACC16">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698CC39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DCAC68F">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548E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C31E67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5AFF12E2">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10D28E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337C55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740C8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6872ACF">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3A981571">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821BB1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17763E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35347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70F54D3">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DC7F1A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6842390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7013277">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47AA2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3E925D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260523F1">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0B113E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3D29EDB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79E91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F3592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EE808B6">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0EBEC2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2EE08E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EE1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3646D9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3674B5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3DF0329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27F0CF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02EE6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DE336A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2418BE8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4296316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62574028">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FDE2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5C48C09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1B8685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597686C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8304C1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8ED1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CE63CB2">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504B1AD3">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5798151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6FC74C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bl>
    <w:p w14:paraId="45B9BCAD">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14:paraId="41EFC868">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63363F60">
      <w:pPr>
        <w:spacing w:line="500" w:lineRule="exact"/>
        <w:ind w:firstLine="720" w:firstLineChars="3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14:paraId="666C0DD0">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14:paraId="06C7F241">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14:paraId="1284146D">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.本表即为对本项目“第二篇  项目服务需求”中所列条款进行比较和响应；</w:t>
      </w:r>
    </w:p>
    <w:p w14:paraId="1C1AF0FA">
      <w:pPr>
        <w:snapToGrid w:val="0"/>
        <w:spacing w:line="400" w:lineRule="exact"/>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2.本表可扩展，并逐页签字或盖章。</w:t>
      </w:r>
    </w:p>
    <w:p w14:paraId="0EDD2CD0">
      <w:pPr>
        <w:tabs>
          <w:tab w:val="left" w:pos="6300"/>
        </w:tabs>
        <w:snapToGrid w:val="0"/>
        <w:spacing w:line="400" w:lineRule="exact"/>
        <w:ind w:firstLine="56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Cs w:val="24"/>
        </w:rPr>
        <w:br w:type="page"/>
      </w:r>
      <w:r>
        <w:rPr>
          <w:rFonts w:hint="default" w:ascii="Times New Roman" w:hAnsi="Times New Roman" w:eastAsia="方正仿宋_GBK" w:cs="Times New Roman"/>
          <w:color w:val="000000"/>
          <w:sz w:val="24"/>
          <w:szCs w:val="24"/>
        </w:rPr>
        <w:t>（二）服务方案（格式自拟）</w:t>
      </w:r>
    </w:p>
    <w:p w14:paraId="67B021D0">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4681F43A">
      <w:pPr>
        <w:adjustRightInd w:val="0"/>
        <w:snapToGrid w:val="0"/>
        <w:spacing w:line="400" w:lineRule="exact"/>
        <w:ind w:firstLine="562"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b/>
          <w:color w:val="000000"/>
        </w:rPr>
        <w:br w:type="page"/>
      </w:r>
      <w:bookmarkStart w:id="82" w:name="_Toc342913421"/>
      <w:bookmarkStart w:id="83" w:name="_Toc313008358"/>
      <w:bookmarkStart w:id="84" w:name="_Toc14997"/>
      <w:bookmarkStart w:id="85" w:name="_Toc313888362"/>
      <w:r>
        <w:rPr>
          <w:rFonts w:hint="default" w:ascii="Times New Roman" w:hAnsi="Times New Roman" w:eastAsia="方正仿宋_GBK" w:cs="Times New Roman"/>
          <w:color w:val="000000"/>
          <w:sz w:val="24"/>
        </w:rPr>
        <w:t>三、商务部分</w:t>
      </w:r>
      <w:bookmarkEnd w:id="82"/>
      <w:bookmarkEnd w:id="83"/>
      <w:bookmarkEnd w:id="84"/>
      <w:bookmarkEnd w:id="85"/>
    </w:p>
    <w:p w14:paraId="33039D19">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14:paraId="268A99DA">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14:paraId="2E0E6568">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比选项目名称： </w:t>
      </w:r>
    </w:p>
    <w:tbl>
      <w:tblPr>
        <w:tblStyle w:val="59"/>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53CB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6C80D2BC">
            <w:pPr>
              <w:snapToGrid w:val="0"/>
              <w:spacing w:line="360" w:lineRule="auto"/>
              <w:ind w:firstLine="465"/>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序号</w:t>
            </w:r>
          </w:p>
        </w:tc>
        <w:tc>
          <w:tcPr>
            <w:tcW w:w="3179" w:type="dxa"/>
            <w:vAlign w:val="center"/>
          </w:tcPr>
          <w:p w14:paraId="20A24CC9">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比选项目商务需求</w:t>
            </w:r>
          </w:p>
        </w:tc>
        <w:tc>
          <w:tcPr>
            <w:tcW w:w="2434" w:type="dxa"/>
            <w:vAlign w:val="center"/>
          </w:tcPr>
          <w:p w14:paraId="4B7A21F8">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响应情况</w:t>
            </w:r>
          </w:p>
        </w:tc>
        <w:tc>
          <w:tcPr>
            <w:tcW w:w="2355" w:type="dxa"/>
            <w:vAlign w:val="center"/>
          </w:tcPr>
          <w:p w14:paraId="3AFC3133">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1"/>
              </w:rPr>
              <w:t>差异说明</w:t>
            </w:r>
          </w:p>
        </w:tc>
      </w:tr>
      <w:tr w14:paraId="41236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01824D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182DB64F">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42BA484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52563EA2">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2070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064F69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1790B2D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5CFA611C">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0A08A626">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2083D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095869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7B32380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21D35706">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0A2B5E83">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7A1A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60B59A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5783E0C2">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609B095A">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2AFD24C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3B0E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BFDAAC0">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62366B44">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3B83FF1F">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7BBFF93D">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71CA2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4629C73">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73CE150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215A0AED">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4CE736D0">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bl>
    <w:p w14:paraId="6CADE43B">
      <w:pPr>
        <w:snapToGrid w:val="0"/>
        <w:spacing w:line="360" w:lineRule="auto"/>
        <w:ind w:firstLine="465"/>
        <w:rPr>
          <w:rFonts w:hint="default" w:ascii="Times New Roman" w:hAnsi="Times New Roman" w:eastAsia="方正仿宋_GBK" w:cs="Times New Roman"/>
          <w:color w:val="000000"/>
          <w:sz w:val="24"/>
          <w:szCs w:val="24"/>
        </w:rPr>
      </w:pPr>
    </w:p>
    <w:p w14:paraId="2AC85180">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14:paraId="1C433361">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0DEB1D59">
      <w:pPr>
        <w:spacing w:line="500" w:lineRule="exact"/>
        <w:ind w:firstLine="360" w:firstLineChars="1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14:paraId="17A1D9DF">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14:paraId="2198C22A">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14:paraId="7C1A1CCD">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.本表即为对本项目“第三篇 项目商务需求”中所列条款进行比较和响应</w:t>
      </w:r>
      <w:r>
        <w:rPr>
          <w:rFonts w:hint="default" w:ascii="Times New Roman" w:hAnsi="Times New Roman" w:eastAsia="方正仿宋_GBK" w:cs="Times New Roman"/>
          <w:color w:val="000000"/>
          <w:sz w:val="24"/>
          <w:szCs w:val="24"/>
        </w:rPr>
        <w:t>；</w:t>
      </w:r>
    </w:p>
    <w:p w14:paraId="61A516A9">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w:t>
      </w:r>
      <w:r>
        <w:rPr>
          <w:rFonts w:hint="default" w:ascii="Times New Roman" w:hAnsi="Times New Roman" w:eastAsia="方正仿宋_GBK" w:cs="Times New Roman"/>
          <w:color w:val="000000"/>
        </w:rPr>
        <w:t xml:space="preserve"> </w:t>
      </w:r>
      <w:r>
        <w:rPr>
          <w:rFonts w:hint="default" w:ascii="Times New Roman" w:hAnsi="Times New Roman" w:eastAsia="方正仿宋_GBK" w:cs="Times New Roman"/>
          <w:color w:val="000000"/>
          <w:sz w:val="24"/>
        </w:rPr>
        <w:t>本表可扩展，并逐页签字或盖章。</w:t>
      </w:r>
      <w:bookmarkStart w:id="86" w:name="_Toc283382459"/>
    </w:p>
    <w:p w14:paraId="1EA0918F">
      <w:pPr>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（二）商务要求响应情况</w:t>
      </w:r>
    </w:p>
    <w:p w14:paraId="0420EDF8">
      <w:pPr>
        <w:snapToGrid w:val="0"/>
        <w:spacing w:line="400" w:lineRule="exact"/>
        <w:ind w:firstLine="480" w:firstLineChars="200"/>
        <w:rPr>
          <w:rFonts w:hint="default" w:ascii="Times New Roman" w:hAnsi="Times New Roman" w:eastAsia="方正仿宋_GBK" w:cs="Times New Roman"/>
          <w:color w:val="000000"/>
          <w:sz w:val="24"/>
          <w:szCs w:val="24"/>
        </w:rPr>
      </w:pPr>
    </w:p>
    <w:p w14:paraId="53B5F594">
      <w:pPr>
        <w:adjustRightInd w:val="0"/>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bookmarkEnd w:id="86"/>
      <w:bookmarkStart w:id="87" w:name="_Toc28097"/>
      <w:bookmarkStart w:id="88" w:name="_Toc313888363"/>
      <w:bookmarkStart w:id="89" w:name="_Toc342913422"/>
      <w:bookmarkStart w:id="90" w:name="_Toc313008359"/>
      <w:r>
        <w:rPr>
          <w:rFonts w:hint="default" w:ascii="Times New Roman" w:hAnsi="Times New Roman" w:eastAsia="方正仿宋_GBK" w:cs="Times New Roman"/>
          <w:color w:val="000000"/>
          <w:sz w:val="24"/>
        </w:rPr>
        <w:t>四、资格条件</w:t>
      </w:r>
      <w:bookmarkEnd w:id="87"/>
      <w:bookmarkEnd w:id="88"/>
      <w:bookmarkEnd w:id="89"/>
      <w:bookmarkEnd w:id="90"/>
    </w:p>
    <w:p w14:paraId="10A975FE">
      <w:pPr>
        <w:tabs>
          <w:tab w:val="left" w:pos="6300"/>
        </w:tabs>
        <w:snapToGrid w:val="0"/>
        <w:spacing w:line="4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14:paraId="6D55E566">
      <w:pPr>
        <w:tabs>
          <w:tab w:val="left" w:pos="6300"/>
        </w:tabs>
        <w:snapToGrid w:val="0"/>
        <w:spacing w:line="400" w:lineRule="exact"/>
        <w:ind w:firstLine="570"/>
        <w:rPr>
          <w:rFonts w:hint="default" w:ascii="Times New Roman" w:hAnsi="Times New Roman" w:eastAsia="方正仿宋_GBK" w:cs="Times New Roman"/>
          <w:color w:val="000000"/>
        </w:rPr>
      </w:pPr>
    </w:p>
    <w:p w14:paraId="144C06DF">
      <w:pPr>
        <w:tabs>
          <w:tab w:val="left" w:pos="6300"/>
        </w:tabs>
        <w:snapToGrid w:val="0"/>
        <w:spacing w:line="500" w:lineRule="exact"/>
        <w:ind w:firstLine="570"/>
        <w:rPr>
          <w:rFonts w:hint="default" w:ascii="Times New Roman" w:hAnsi="Times New Roman" w:eastAsia="方正仿宋_GBK" w:cs="Times New Roman"/>
          <w:color w:val="000000"/>
        </w:rPr>
      </w:pPr>
    </w:p>
    <w:p w14:paraId="3344BFEF">
      <w:pPr>
        <w:tabs>
          <w:tab w:val="left" w:pos="6300"/>
        </w:tabs>
        <w:snapToGrid w:val="0"/>
        <w:spacing w:line="500" w:lineRule="exact"/>
        <w:ind w:firstLine="570"/>
        <w:rPr>
          <w:rFonts w:hint="default" w:ascii="Times New Roman" w:hAnsi="Times New Roman" w:eastAsia="方正仿宋_GBK" w:cs="Times New Roman"/>
          <w:color w:val="000000"/>
        </w:rPr>
      </w:pPr>
    </w:p>
    <w:p w14:paraId="441C0E29">
      <w:pPr>
        <w:tabs>
          <w:tab w:val="left" w:pos="6300"/>
        </w:tabs>
        <w:snapToGrid w:val="0"/>
        <w:spacing w:line="500" w:lineRule="exact"/>
        <w:ind w:firstLine="570"/>
        <w:rPr>
          <w:rFonts w:hint="default" w:ascii="Times New Roman" w:hAnsi="Times New Roman" w:eastAsia="方正仿宋_GBK" w:cs="Times New Roman"/>
          <w:color w:val="000000"/>
        </w:rPr>
      </w:pPr>
    </w:p>
    <w:p w14:paraId="6BA3EB02">
      <w:pPr>
        <w:tabs>
          <w:tab w:val="left" w:pos="6300"/>
        </w:tabs>
        <w:snapToGrid w:val="0"/>
        <w:spacing w:line="500" w:lineRule="exact"/>
        <w:ind w:firstLine="570"/>
        <w:rPr>
          <w:rFonts w:hint="default" w:ascii="Times New Roman" w:hAnsi="Times New Roman" w:eastAsia="方正仿宋_GBK" w:cs="Times New Roman"/>
          <w:color w:val="000000"/>
        </w:rPr>
      </w:pPr>
    </w:p>
    <w:p w14:paraId="4A8F1812">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page"/>
      </w:r>
      <w:r>
        <w:rPr>
          <w:rFonts w:hint="default" w:ascii="Times New Roman" w:hAnsi="Times New Roman" w:eastAsia="方正仿宋_GBK" w:cs="Times New Roman"/>
          <w:color w:val="000000"/>
          <w:sz w:val="24"/>
          <w:szCs w:val="24"/>
        </w:rPr>
        <w:t>（二）法定代表人身份证明书（格式）</w:t>
      </w:r>
    </w:p>
    <w:p w14:paraId="64BCFE91">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4EE0742">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比选项目名称：</w:t>
      </w:r>
      <w:r>
        <w:rPr>
          <w:rFonts w:hint="default" w:ascii="Times New Roman" w:hAnsi="Times New Roman" w:eastAsia="方正仿宋_GBK" w:cs="Times New Roman"/>
          <w:color w:val="000000"/>
          <w:sz w:val="24"/>
          <w:u w:val="single"/>
        </w:rPr>
        <w:t xml:space="preserve">                                                </w:t>
      </w:r>
    </w:p>
    <w:p w14:paraId="4B5E55F9">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186A6FA">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14:paraId="6DBC363A">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（法定代表人姓名）在</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（供应商名称）任</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（职务名称）职务，是（供应商名称）</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的法定代表人。</w:t>
      </w:r>
    </w:p>
    <w:p w14:paraId="5921413E">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4A89A91F">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特此证明。</w:t>
      </w:r>
    </w:p>
    <w:p w14:paraId="00C98CD1">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D271CA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4A25CBF6">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80EA2DB">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（供应商公章）</w:t>
      </w:r>
    </w:p>
    <w:p w14:paraId="35821E7B">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2B4D3628">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年   月   日</w:t>
      </w:r>
    </w:p>
    <w:p w14:paraId="250FF399">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法定代表人电话：XXXXXXX      电子邮箱：XXXXXX@XXXXX（若授权他人办理并签署响应文件的可不填写）</w:t>
      </w:r>
    </w:p>
    <w:p w14:paraId="30D4A5C2">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（附：法定代表人身份证正反面复印件）</w:t>
      </w:r>
    </w:p>
    <w:p w14:paraId="1046341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62C148A3">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2FB4828">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82B05E2">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DBBBBA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C5DBF1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A10C868">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（三）法定代表人授权委托书（格式）</w:t>
      </w:r>
    </w:p>
    <w:p w14:paraId="76C9B79A">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14:paraId="486B72C5">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比选项目名称</w:t>
      </w:r>
      <w:r>
        <w:rPr>
          <w:rFonts w:hint="default" w:ascii="Times New Roman" w:hAnsi="Times New Roman" w:eastAsia="方正仿宋_GBK" w:cs="Times New Roman"/>
          <w:color w:val="000000"/>
          <w:sz w:val="24"/>
        </w:rPr>
        <w:t>：</w:t>
      </w:r>
      <w:r>
        <w:rPr>
          <w:rFonts w:hint="default" w:ascii="Times New Roman" w:hAnsi="Times New Roman" w:eastAsia="方正仿宋_GBK" w:cs="Times New Roman"/>
          <w:color w:val="000000"/>
          <w:sz w:val="24"/>
          <w:u w:val="single"/>
        </w:rPr>
        <w:t xml:space="preserve">                                                </w:t>
      </w:r>
    </w:p>
    <w:p w14:paraId="18A6A039">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5033393">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14:paraId="4641F4C4">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（供应商法定代表人名称）是</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（供应商名称）的法定代表人，特授权</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（被授权人姓名及身份证代码）代表我单位全权办理上述项目的比选、签约等具体工作，并签署全部有关文件、协议及合同。</w:t>
      </w:r>
    </w:p>
    <w:p w14:paraId="672B17AE">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我单位对被授权人的</w:t>
      </w:r>
      <w:r>
        <w:rPr>
          <w:rFonts w:hint="default" w:ascii="Times New Roman" w:hAnsi="Times New Roman" w:eastAsia="方正仿宋_GBK" w:cs="Times New Roman"/>
          <w:color w:val="000000"/>
          <w:sz w:val="24"/>
          <w:szCs w:val="28"/>
        </w:rPr>
        <w:t>签署</w:t>
      </w:r>
      <w:r>
        <w:rPr>
          <w:rFonts w:hint="default" w:ascii="Times New Roman" w:hAnsi="Times New Roman" w:eastAsia="方正仿宋_GBK" w:cs="Times New Roman"/>
          <w:color w:val="000000"/>
          <w:sz w:val="24"/>
        </w:rPr>
        <w:t>负全部责任。</w:t>
      </w:r>
    </w:p>
    <w:p w14:paraId="67A14914">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在撤销授权的书面通知以前，本授权书一直有效。被授权人在授权书有效期内签署的所有文件不因授权的撤销而失效。</w:t>
      </w:r>
    </w:p>
    <w:p w14:paraId="5D9557EA">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9D1238C">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8D95A68">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                                 供应商法定代表人：</w:t>
      </w:r>
    </w:p>
    <w:p w14:paraId="6D34A862">
      <w:pPr>
        <w:tabs>
          <w:tab w:val="left" w:pos="6300"/>
        </w:tabs>
        <w:snapToGrid w:val="0"/>
        <w:spacing w:line="500" w:lineRule="exact"/>
        <w:ind w:firstLine="57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（签署或盖章）                                （签署或盖章）</w:t>
      </w:r>
    </w:p>
    <w:p w14:paraId="42EA86E4">
      <w:pPr>
        <w:tabs>
          <w:tab w:val="left" w:pos="6300"/>
        </w:tabs>
        <w:snapToGrid w:val="0"/>
        <w:spacing w:line="500" w:lineRule="exact"/>
        <w:ind w:firstLine="570"/>
        <w:rPr>
          <w:rFonts w:hint="default" w:ascii="Times New Roman" w:hAnsi="Times New Roman" w:eastAsia="方正仿宋_GBK" w:cs="Times New Roman"/>
          <w:color w:val="000000"/>
          <w:sz w:val="24"/>
          <w:szCs w:val="28"/>
        </w:rPr>
      </w:pPr>
    </w:p>
    <w:p w14:paraId="441EC7A2">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07115396">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（附：被授权人身份证正反面复印件）</w:t>
      </w:r>
    </w:p>
    <w:p w14:paraId="2F0BF851">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14:paraId="3878C617">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FD547E8">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96E84BE">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（供应商公章）</w:t>
      </w:r>
    </w:p>
    <w:p w14:paraId="50DB83C0">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年   月   日</w:t>
      </w:r>
    </w:p>
    <w:p w14:paraId="035879D4">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被授权人电话：XXXXXXX     电子邮箱：XXXXXX@XXXXX（若法定代表人办理并签署响应文件的可不填写）</w:t>
      </w:r>
    </w:p>
    <w:p w14:paraId="11439A9A">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注：1.若为法定代表人办理并签署响应文件的，不提供此文件。</w:t>
      </w:r>
    </w:p>
    <w:p w14:paraId="4F80D674">
      <w:pPr>
        <w:tabs>
          <w:tab w:val="left" w:pos="6300"/>
        </w:tabs>
        <w:snapToGrid w:val="0"/>
        <w:spacing w:line="5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（四）基本资格条件承诺函（格式）</w:t>
      </w:r>
    </w:p>
    <w:p w14:paraId="7E36EFCA">
      <w:pPr>
        <w:tabs>
          <w:tab w:val="left" w:pos="6300"/>
        </w:tabs>
        <w:snapToGrid w:val="0"/>
        <w:spacing w:line="500" w:lineRule="exact"/>
        <w:jc w:val="center"/>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基本资格条件承诺函</w:t>
      </w:r>
    </w:p>
    <w:p w14:paraId="180805EE">
      <w:pPr>
        <w:tabs>
          <w:tab w:val="left" w:pos="6300"/>
        </w:tabs>
        <w:snapToGrid w:val="0"/>
        <w:spacing w:line="50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致</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（采购人名称）：</w:t>
      </w:r>
    </w:p>
    <w:p w14:paraId="76DA7639">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（供应商名称）郑重承诺：</w:t>
      </w:r>
    </w:p>
    <w:p w14:paraId="6B9CC76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0BC48FC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2.我方未列入在信用中国网站（www.creditchina.gov.cn）“失信被执行人”、“重大税收违法案件当事人名单”中，也未列入中国政府采购网（www.ccgp.gov.cn）“政府采购严重违法失信行为记录名单”中。</w:t>
      </w:r>
    </w:p>
    <w:p w14:paraId="4EE647DD">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3.我方在采购项目评审（评标）环节结束后，随时接受采购人的检查验证，配合提供相关证明材料，证明符合《中华人民共和国政府采购法》规定的供应商基本资格条件。</w:t>
      </w:r>
    </w:p>
    <w:p w14:paraId="768036C5">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我方对以上承诺负全部法律责任。</w:t>
      </w:r>
    </w:p>
    <w:p w14:paraId="7783D86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特此承诺。</w:t>
      </w:r>
    </w:p>
    <w:p w14:paraId="7339D48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p>
    <w:p w14:paraId="784492D3">
      <w:pPr>
        <w:tabs>
          <w:tab w:val="left" w:pos="6300"/>
        </w:tabs>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w:t>
      </w:r>
    </w:p>
    <w:p w14:paraId="0C5C9BF6">
      <w:pPr>
        <w:tabs>
          <w:tab w:val="left" w:pos="6300"/>
        </w:tabs>
        <w:wordWrap w:val="0"/>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年  月  日</w:t>
      </w:r>
    </w:p>
    <w:p w14:paraId="7D8852C3">
      <w:pPr>
        <w:tabs>
          <w:tab w:val="left" w:pos="6300"/>
        </w:tabs>
        <w:snapToGrid w:val="0"/>
        <w:spacing w:line="500" w:lineRule="exact"/>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（五）特定资格条件证书或证明文件（如果有）</w:t>
      </w:r>
    </w:p>
    <w:p w14:paraId="171A33FC">
      <w:pPr>
        <w:snapToGrid w:val="0"/>
        <w:spacing w:line="400" w:lineRule="exact"/>
        <w:rPr>
          <w:rFonts w:hint="default" w:ascii="Times New Roman" w:hAnsi="Times New Roman" w:eastAsia="方正仿宋_GBK" w:cs="Times New Roman"/>
          <w:color w:val="000000"/>
          <w:sz w:val="24"/>
          <w:szCs w:val="24"/>
        </w:rPr>
      </w:pPr>
    </w:p>
    <w:p w14:paraId="20076A9F">
      <w:pPr>
        <w:adjustRightInd w:val="0"/>
        <w:snapToGrid w:val="0"/>
        <w:spacing w:line="400" w:lineRule="exact"/>
        <w:ind w:firstLine="482" w:firstLineChars="200"/>
        <w:rPr>
          <w:rFonts w:hint="default" w:ascii="Times New Roman" w:hAnsi="Times New Roman" w:eastAsia="方正仿宋_GBK" w:cs="Times New Roman"/>
          <w:color w:val="000000"/>
          <w:sz w:val="24"/>
        </w:rPr>
      </w:pPr>
      <w:bookmarkStart w:id="91" w:name="_Toc14422"/>
      <w:r>
        <w:rPr>
          <w:rFonts w:hint="default" w:ascii="Times New Roman" w:hAnsi="Times New Roman" w:eastAsia="方正仿宋_GBK" w:cs="Times New Roman"/>
          <w:b/>
          <w:color w:val="000000"/>
          <w:sz w:val="24"/>
          <w:szCs w:val="24"/>
        </w:rPr>
        <w:br w:type="page"/>
      </w:r>
      <w:bookmarkStart w:id="92" w:name="_Toc27930"/>
      <w:r>
        <w:rPr>
          <w:rFonts w:hint="default" w:ascii="Times New Roman" w:hAnsi="Times New Roman" w:eastAsia="方正仿宋_GBK" w:cs="Times New Roman"/>
          <w:color w:val="000000"/>
          <w:sz w:val="24"/>
        </w:rPr>
        <w:t>五、其他资料</w:t>
      </w:r>
      <w:bookmarkEnd w:id="91"/>
      <w:bookmarkEnd w:id="92"/>
    </w:p>
    <w:p w14:paraId="3A8113B4">
      <w:pPr>
        <w:tabs>
          <w:tab w:val="left" w:pos="6300"/>
        </w:tabs>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14:paraId="4AA30F80">
      <w:pPr>
        <w:tabs>
          <w:tab w:val="left" w:pos="6300"/>
        </w:tabs>
        <w:snapToGrid w:val="0"/>
        <w:spacing w:line="500" w:lineRule="exact"/>
        <w:ind w:firstLine="56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中小企业声明函</w:t>
      </w:r>
    </w:p>
    <w:p w14:paraId="2CF4308B">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本公司（联合体）郑重声明，根据《政府采购促进中小企业发展管理办法》（</w:t>
      </w:r>
      <w:r>
        <w:rPr>
          <w:rFonts w:hint="default" w:ascii="Times New Roman" w:hAnsi="Times New Roman" w:eastAsia="方正仿宋_GBK" w:cs="Times New Roman"/>
          <w:color w:val="000000"/>
          <w:sz w:val="24"/>
          <w:szCs w:val="24"/>
        </w:rPr>
        <w:t>财库〔2020〕46号</w:t>
      </w:r>
      <w:r>
        <w:rPr>
          <w:rFonts w:hint="default" w:ascii="Times New Roman" w:hAnsi="Times New Roman" w:eastAsia="方正仿宋_GBK" w:cs="Times New Roman"/>
          <w:color w:val="000000"/>
          <w:sz w:val="24"/>
          <w:szCs w:val="28"/>
        </w:rPr>
        <w:t>）的规定，本公司（联合体）参加</w:t>
      </w:r>
      <w:r>
        <w:rPr>
          <w:rFonts w:hint="default" w:ascii="Times New Roman" w:hAnsi="Times New Roman" w:eastAsia="方正仿宋_GBK" w:cs="Times New Roman"/>
          <w:i/>
          <w:color w:val="000000"/>
          <w:sz w:val="24"/>
          <w:szCs w:val="28"/>
          <w:u w:val="single"/>
        </w:rPr>
        <w:t>（单位名称）</w:t>
      </w:r>
      <w:r>
        <w:rPr>
          <w:rFonts w:hint="default" w:ascii="Times New Roman" w:hAnsi="Times New Roman" w:eastAsia="方正仿宋_GBK" w:cs="Times New Roman"/>
          <w:color w:val="000000"/>
          <w:sz w:val="24"/>
          <w:szCs w:val="28"/>
        </w:rPr>
        <w:t>的</w:t>
      </w:r>
      <w:r>
        <w:rPr>
          <w:rFonts w:hint="default" w:ascii="Times New Roman" w:hAnsi="Times New Roman" w:eastAsia="方正仿宋_GBK" w:cs="Times New Roman"/>
          <w:i/>
          <w:color w:val="000000"/>
          <w:sz w:val="24"/>
          <w:szCs w:val="28"/>
          <w:u w:val="single"/>
        </w:rPr>
        <w:t>（项目名称）</w:t>
      </w:r>
      <w:r>
        <w:rPr>
          <w:rFonts w:hint="default" w:ascii="Times New Roman" w:hAnsi="Times New Roman" w:eastAsia="方正仿宋_GBK" w:cs="Times New Roman"/>
          <w:color w:val="000000"/>
          <w:sz w:val="24"/>
          <w:szCs w:val="28"/>
        </w:rPr>
        <w:t>采购活动，服务全部由符合政策要求的中小企业承接。相关企业（含联合体中的中小企业、签订分包意向协议的中小企业）的具体情况如下：</w:t>
      </w:r>
    </w:p>
    <w:p w14:paraId="46DC2CAB">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1.</w:t>
      </w:r>
      <w:r>
        <w:rPr>
          <w:rFonts w:hint="default" w:ascii="Times New Roman" w:hAnsi="Times New Roman" w:eastAsia="方正仿宋_GBK" w:cs="Times New Roman"/>
          <w:i/>
          <w:color w:val="000000"/>
          <w:sz w:val="24"/>
          <w:szCs w:val="28"/>
          <w:u w:val="single"/>
        </w:rPr>
        <w:t>（标的名称）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14:paraId="6439CB05">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14:paraId="7C9E96A6">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2.</w:t>
      </w:r>
      <w:r>
        <w:rPr>
          <w:rFonts w:hint="default" w:ascii="Times New Roman" w:hAnsi="Times New Roman" w:eastAsia="方正仿宋_GBK" w:cs="Times New Roman"/>
          <w:i/>
          <w:color w:val="000000"/>
          <w:sz w:val="24"/>
          <w:szCs w:val="28"/>
          <w:u w:val="single"/>
        </w:rPr>
        <w:t xml:space="preserve"> （标的名称）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14:paraId="58B9E76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14:paraId="088E645E">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w:t>
      </w:r>
    </w:p>
    <w:p w14:paraId="2CD41590">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以上企业，不属于大企业的分支机构，不存在控股股东为大企业的情形，也不存在与大企业的负责人为同一人的情形。</w:t>
      </w:r>
    </w:p>
    <w:p w14:paraId="4FDEEB13">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本企业对上述声明内容的真实性负责。如有虚假，将依法承担相应责任。</w:t>
      </w:r>
    </w:p>
    <w:p w14:paraId="457FF5C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456C7A41">
      <w:pPr>
        <w:tabs>
          <w:tab w:val="left" w:pos="6300"/>
        </w:tabs>
        <w:snapToGrid w:val="0"/>
        <w:spacing w:line="500" w:lineRule="exact"/>
        <w:ind w:firstLine="6120" w:firstLineChars="25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企业名称（盖章）： </w:t>
      </w:r>
    </w:p>
    <w:p w14:paraId="070E192A">
      <w:pPr>
        <w:tabs>
          <w:tab w:val="left" w:pos="6300"/>
        </w:tabs>
        <w:snapToGrid w:val="0"/>
        <w:spacing w:line="500" w:lineRule="exact"/>
        <w:ind w:right="784" w:firstLine="6120" w:firstLineChars="255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日期：</w:t>
      </w:r>
    </w:p>
    <w:p w14:paraId="27C4931C">
      <w:pPr>
        <w:tabs>
          <w:tab w:val="left" w:pos="6300"/>
        </w:tabs>
        <w:snapToGrid w:val="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填写时应注意以下事项：</w:t>
      </w:r>
    </w:p>
    <w:p w14:paraId="111BF5C1">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1.从业人员、营业收入、资产总额填报上一年度数据，无上一年度数据的新成立企业可不填报。</w:t>
      </w:r>
    </w:p>
    <w:p w14:paraId="56972EA8">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2.中小企业应当按照《中小企业划型标准规定》（工信部联企业〔2011〕300号），如实填写并提交《中小企业声明函》。</w:t>
      </w:r>
    </w:p>
    <w:p w14:paraId="2D714A86">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3.供应商填写《中小企业声明函》中所属行业时，应与采购文件第一篇“采购标的对应的中小企业划分标准所属行业”中填写的所属行业一致。</w:t>
      </w:r>
    </w:p>
    <w:p w14:paraId="2E2A290E">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4.本声明函“企业名称（盖章）”处为供应商盖章。</w:t>
      </w:r>
    </w:p>
    <w:p w14:paraId="08B31D21">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注：各行业划型标准：</w:t>
      </w:r>
    </w:p>
    <w:p w14:paraId="59849DC2">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76FB51A4">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1E89520">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69621C">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79E57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06156C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D18255">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D458813">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30E6D3A">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34FE39B">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FB88183">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450AE6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66A327C">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CF11C02">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426E928">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456CC5A">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14:paraId="4BC86F9A">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rPr>
        <w:t>监狱企业证明文件</w:t>
      </w:r>
    </w:p>
    <w:p w14:paraId="3C6BDDA7">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以省级以上监狱管理局、戒毒管理局（含新疆生产建设兵团）出具的属于监狱企业的证明文件为准。</w:t>
      </w:r>
    </w:p>
    <w:p w14:paraId="418FF630">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rPr>
        <w:br w:type="page"/>
      </w:r>
      <w:r>
        <w:rPr>
          <w:rFonts w:hint="default" w:ascii="Times New Roman" w:hAnsi="Times New Roman" w:eastAsia="方正仿宋_GBK" w:cs="Times New Roman"/>
          <w:color w:val="000000"/>
        </w:rPr>
        <w:t>残疾人福利性单位声明函</w:t>
      </w:r>
    </w:p>
    <w:p w14:paraId="3978685B">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DFEE960">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本单位对上述声明的真实性负责。如有虚假，将依法承担相应责任。</w:t>
      </w:r>
    </w:p>
    <w:p w14:paraId="7E5BF6FA">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7EA7B075">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1513079B">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供应商名称（盖章）：</w:t>
      </w:r>
    </w:p>
    <w:p w14:paraId="620D3942">
      <w:pPr>
        <w:snapToGrid w:val="0"/>
        <w:spacing w:line="44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日  期：</w:t>
      </w:r>
    </w:p>
    <w:p w14:paraId="0BA63AB3">
      <w:pPr>
        <w:snapToGrid w:val="0"/>
        <w:spacing w:line="440" w:lineRule="exact"/>
        <w:ind w:firstLine="480" w:firstLineChars="200"/>
        <w:rPr>
          <w:rFonts w:hint="default" w:ascii="Times New Roman" w:hAnsi="Times New Roman" w:eastAsia="方正仿宋_GBK" w:cs="Times New Roman"/>
          <w:color w:val="000000"/>
          <w:sz w:val="24"/>
        </w:rPr>
      </w:pPr>
    </w:p>
    <w:p w14:paraId="0EC054F9">
      <w:pPr>
        <w:snapToGrid w:val="0"/>
        <w:spacing w:line="440" w:lineRule="exact"/>
        <w:ind w:firstLine="480" w:firstLineChars="200"/>
        <w:rPr>
          <w:rFonts w:hint="default" w:ascii="Times New Roman" w:hAnsi="Times New Roman" w:eastAsia="方正仿宋_GBK" w:cs="Times New Roman"/>
          <w:color w:val="000000"/>
          <w:sz w:val="24"/>
        </w:rPr>
      </w:pPr>
    </w:p>
    <w:p w14:paraId="52DFCAB2">
      <w:pPr>
        <w:snapToGrid w:val="0"/>
        <w:spacing w:line="440" w:lineRule="exact"/>
        <w:ind w:firstLine="480" w:firstLineChars="200"/>
        <w:rPr>
          <w:rFonts w:hint="default" w:ascii="Times New Roman" w:hAnsi="Times New Roman" w:eastAsia="方正仿宋_GBK" w:cs="Times New Roman"/>
          <w:color w:val="000000"/>
          <w:sz w:val="24"/>
        </w:rPr>
      </w:pPr>
    </w:p>
    <w:p w14:paraId="5480B7D9">
      <w:pPr>
        <w:snapToGrid w:val="0"/>
        <w:spacing w:line="440" w:lineRule="exact"/>
        <w:ind w:firstLine="480" w:firstLineChars="200"/>
        <w:rPr>
          <w:rFonts w:hint="default" w:ascii="Times New Roman" w:hAnsi="Times New Roman" w:eastAsia="方正仿宋_GBK" w:cs="Times New Roman"/>
          <w:color w:val="000000"/>
          <w:sz w:val="24"/>
        </w:rPr>
      </w:pPr>
    </w:p>
    <w:p w14:paraId="579B72C2">
      <w:pPr>
        <w:snapToGrid w:val="0"/>
        <w:spacing w:line="440" w:lineRule="exact"/>
        <w:ind w:firstLine="480" w:firstLineChars="200"/>
        <w:rPr>
          <w:rFonts w:hint="default" w:ascii="Times New Roman" w:hAnsi="Times New Roman" w:eastAsia="方正仿宋_GBK" w:cs="Times New Roman"/>
          <w:color w:val="000000"/>
          <w:sz w:val="24"/>
        </w:rPr>
      </w:pPr>
    </w:p>
    <w:p w14:paraId="1D0C7E34">
      <w:pPr>
        <w:snapToGrid w:val="0"/>
        <w:spacing w:line="440" w:lineRule="exact"/>
        <w:ind w:firstLine="480" w:firstLineChars="200"/>
        <w:rPr>
          <w:rFonts w:hint="default" w:ascii="Times New Roman" w:hAnsi="Times New Roman" w:eastAsia="方正仿宋_GBK" w:cs="Times New Roman"/>
          <w:color w:val="000000"/>
          <w:sz w:val="24"/>
        </w:rPr>
      </w:pPr>
    </w:p>
    <w:p w14:paraId="5F3A7919">
      <w:pPr>
        <w:snapToGrid w:val="0"/>
        <w:spacing w:line="440" w:lineRule="exact"/>
        <w:ind w:firstLine="480" w:firstLineChars="200"/>
        <w:rPr>
          <w:rFonts w:hint="default" w:ascii="Times New Roman" w:hAnsi="Times New Roman" w:eastAsia="方正仿宋_GBK" w:cs="Times New Roman"/>
          <w:color w:val="000000"/>
          <w:sz w:val="24"/>
        </w:rPr>
      </w:pPr>
    </w:p>
    <w:p w14:paraId="75DE1E8A">
      <w:pPr>
        <w:snapToGrid w:val="0"/>
        <w:spacing w:line="440" w:lineRule="exact"/>
        <w:ind w:firstLine="480" w:firstLineChars="200"/>
        <w:rPr>
          <w:rFonts w:hint="default" w:ascii="Times New Roman" w:hAnsi="Times New Roman" w:eastAsia="方正仿宋_GBK" w:cs="Times New Roman"/>
          <w:color w:val="000000"/>
          <w:sz w:val="24"/>
        </w:rPr>
      </w:pPr>
    </w:p>
    <w:p w14:paraId="31116A90">
      <w:pPr>
        <w:snapToGrid w:val="0"/>
        <w:spacing w:line="440" w:lineRule="exact"/>
        <w:ind w:firstLine="480" w:firstLineChars="200"/>
        <w:rPr>
          <w:rFonts w:hint="default" w:ascii="Times New Roman" w:hAnsi="Times New Roman" w:eastAsia="方正仿宋_GBK" w:cs="Times New Roman"/>
          <w:color w:val="000000"/>
          <w:sz w:val="24"/>
        </w:rPr>
      </w:pPr>
    </w:p>
    <w:p w14:paraId="7ED42AF1">
      <w:pPr>
        <w:snapToGrid w:val="0"/>
        <w:spacing w:line="440" w:lineRule="exact"/>
        <w:ind w:firstLine="480" w:firstLineChars="200"/>
        <w:rPr>
          <w:rFonts w:hint="default" w:ascii="Times New Roman" w:hAnsi="Times New Roman" w:eastAsia="方正仿宋_GBK" w:cs="Times New Roman"/>
          <w:color w:val="000000"/>
          <w:sz w:val="24"/>
        </w:rPr>
      </w:pPr>
    </w:p>
    <w:p w14:paraId="482C5BF6">
      <w:pPr>
        <w:snapToGrid w:val="0"/>
        <w:spacing w:line="440" w:lineRule="exact"/>
        <w:ind w:firstLine="480" w:firstLineChars="200"/>
        <w:rPr>
          <w:rFonts w:hint="default" w:ascii="Times New Roman" w:hAnsi="Times New Roman" w:eastAsia="方正仿宋_GBK" w:cs="Times New Roman"/>
          <w:color w:val="000000"/>
          <w:sz w:val="24"/>
        </w:rPr>
      </w:pPr>
    </w:p>
    <w:p w14:paraId="6BEA3944">
      <w:pPr>
        <w:snapToGrid w:val="0"/>
        <w:spacing w:line="440" w:lineRule="exact"/>
        <w:ind w:firstLine="480" w:firstLineChars="200"/>
        <w:rPr>
          <w:rFonts w:hint="default" w:ascii="Times New Roman" w:hAnsi="Times New Roman" w:eastAsia="方正仿宋_GBK" w:cs="Times New Roman"/>
          <w:color w:val="000000"/>
          <w:sz w:val="24"/>
        </w:rPr>
      </w:pPr>
    </w:p>
    <w:p w14:paraId="5C9C2879">
      <w:pPr>
        <w:snapToGrid w:val="0"/>
        <w:spacing w:line="440" w:lineRule="exact"/>
        <w:ind w:firstLine="480" w:firstLineChars="200"/>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若成交供应商为残疾人福利性单位的，将在结果公告时公告其《残疾人福利性单位声明函》。</w:t>
      </w:r>
    </w:p>
    <w:p w14:paraId="629151C9">
      <w:pPr>
        <w:snapToGrid w:val="0"/>
        <w:spacing w:line="440" w:lineRule="exact"/>
        <w:ind w:firstLine="480" w:firstLineChars="200"/>
        <w:rPr>
          <w:rFonts w:hint="default" w:ascii="Times New Roman" w:hAnsi="Times New Roman" w:eastAsia="方正仿宋_GBK" w:cs="Times New Roman"/>
          <w:color w:val="000000"/>
          <w:sz w:val="24"/>
        </w:rPr>
      </w:pPr>
    </w:p>
    <w:p w14:paraId="3D8C9671">
      <w:pPr>
        <w:snapToGrid w:val="0"/>
        <w:spacing w:line="440" w:lineRule="exact"/>
        <w:ind w:firstLine="480" w:firstLineChars="200"/>
        <w:rPr>
          <w:rFonts w:hint="default" w:ascii="Times New Roman" w:hAnsi="Times New Roman" w:eastAsia="方正仿宋_GBK" w:cs="Times New Roman"/>
          <w:color w:val="000000"/>
          <w:sz w:val="24"/>
        </w:rPr>
      </w:pPr>
    </w:p>
    <w:p w14:paraId="3C3FBB41">
      <w:pPr>
        <w:snapToGrid w:val="0"/>
        <w:spacing w:line="440" w:lineRule="exact"/>
        <w:ind w:firstLine="480" w:firstLineChars="200"/>
        <w:rPr>
          <w:rFonts w:hint="default" w:ascii="Times New Roman" w:hAnsi="Times New Roman" w:eastAsia="方正仿宋_GBK" w:cs="Times New Roman"/>
          <w:color w:val="000000"/>
          <w:sz w:val="24"/>
        </w:rPr>
      </w:pPr>
    </w:p>
    <w:p w14:paraId="27B22143">
      <w:pPr>
        <w:snapToGrid w:val="0"/>
        <w:spacing w:line="440" w:lineRule="exact"/>
        <w:ind w:firstLine="480" w:firstLineChars="200"/>
        <w:rPr>
          <w:rFonts w:hint="default" w:ascii="Times New Roman" w:hAnsi="Times New Roman" w:eastAsia="方正仿宋_GBK" w:cs="Times New Roman"/>
          <w:color w:val="000000"/>
          <w:sz w:val="24"/>
        </w:rPr>
      </w:pPr>
    </w:p>
    <w:p w14:paraId="3ACBB228">
      <w:pPr>
        <w:snapToGrid w:val="0"/>
        <w:spacing w:line="440" w:lineRule="exact"/>
        <w:ind w:firstLine="480" w:firstLineChars="200"/>
        <w:rPr>
          <w:rFonts w:hint="default" w:ascii="Times New Roman" w:hAnsi="Times New Roman" w:eastAsia="方正仿宋_GBK" w:cs="Times New Roman"/>
          <w:color w:val="000000"/>
          <w:sz w:val="24"/>
        </w:rPr>
      </w:pPr>
    </w:p>
    <w:p w14:paraId="3720E971">
      <w:pPr>
        <w:spacing w:line="360" w:lineRule="auto"/>
        <w:ind w:firstLine="480" w:firstLineChars="200"/>
        <w:jc w:val="center"/>
        <w:rPr>
          <w:rFonts w:hint="default" w:ascii="Times New Roman" w:hAnsi="Times New Roman" w:eastAsia="方正仿宋_GBK" w:cs="Times New Roman"/>
          <w:color w:val="000000"/>
          <w:sz w:val="24"/>
          <w:szCs w:val="24"/>
        </w:rPr>
      </w:pPr>
    </w:p>
    <w:p w14:paraId="3DAB369B">
      <w:pPr>
        <w:spacing w:line="360" w:lineRule="auto"/>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（二）其他与项目有关的资料（自附）：供应商总体情况介绍、其他与本项目有关的资料等。</w:t>
      </w:r>
    </w:p>
    <w:p w14:paraId="569F9E55">
      <w:pPr>
        <w:spacing w:line="360" w:lineRule="auto"/>
        <w:ind w:firstLine="480" w:firstLineChars="200"/>
        <w:jc w:val="center"/>
        <w:rPr>
          <w:rFonts w:hint="default" w:ascii="Times New Roman" w:hAnsi="Times New Roman" w:eastAsia="方正仿宋_GBK" w:cs="Times New Roman"/>
          <w:color w:val="000000"/>
          <w:sz w:val="24"/>
          <w:szCs w:val="24"/>
        </w:rPr>
      </w:pPr>
    </w:p>
    <w:p w14:paraId="79F8ABB7">
      <w:pPr>
        <w:spacing w:line="360" w:lineRule="auto"/>
        <w:ind w:firstLine="480" w:firstLineChars="200"/>
        <w:jc w:val="center"/>
        <w:rPr>
          <w:rFonts w:hint="default" w:ascii="Times New Roman" w:hAnsi="Times New Roman" w:eastAsia="方正仿宋_GBK" w:cs="Times New Roman"/>
          <w:color w:val="000000"/>
          <w:sz w:val="24"/>
          <w:szCs w:val="24"/>
        </w:rPr>
      </w:pPr>
    </w:p>
    <w:p w14:paraId="3D5D12FA">
      <w:pPr>
        <w:spacing w:line="360" w:lineRule="auto"/>
        <w:ind w:firstLine="480" w:firstLineChars="200"/>
        <w:jc w:val="center"/>
        <w:rPr>
          <w:rFonts w:hint="default" w:ascii="Times New Roman" w:hAnsi="Times New Roman" w:eastAsia="方正仿宋_GBK" w:cs="Times New Roman"/>
          <w:color w:val="000000"/>
          <w:sz w:val="24"/>
          <w:szCs w:val="24"/>
        </w:rPr>
      </w:pPr>
    </w:p>
    <w:p w14:paraId="3A6FB5E4">
      <w:pPr>
        <w:spacing w:line="360" w:lineRule="auto"/>
        <w:ind w:firstLine="480" w:firstLineChars="200"/>
        <w:jc w:val="center"/>
        <w:rPr>
          <w:rFonts w:hint="default" w:ascii="Times New Roman" w:hAnsi="Times New Roman" w:eastAsia="方正仿宋_GBK" w:cs="Times New Roman"/>
          <w:color w:val="000000"/>
          <w:sz w:val="24"/>
          <w:szCs w:val="24"/>
        </w:rPr>
      </w:pPr>
    </w:p>
    <w:p w14:paraId="74E371EF">
      <w:pPr>
        <w:spacing w:line="360" w:lineRule="auto"/>
        <w:ind w:firstLine="480" w:firstLineChars="200"/>
        <w:jc w:val="center"/>
        <w:rPr>
          <w:rFonts w:hint="default" w:ascii="Times New Roman" w:hAnsi="Times New Roman" w:eastAsia="方正仿宋_GBK" w:cs="Times New Roman"/>
          <w:color w:val="000000"/>
          <w:sz w:val="24"/>
          <w:szCs w:val="24"/>
        </w:rPr>
      </w:pPr>
    </w:p>
    <w:p w14:paraId="3F4F0E00">
      <w:pPr>
        <w:spacing w:line="360" w:lineRule="auto"/>
        <w:ind w:firstLine="480" w:firstLineChars="200"/>
        <w:jc w:val="center"/>
        <w:rPr>
          <w:rFonts w:hint="default" w:ascii="Times New Roman" w:hAnsi="Times New Roman" w:eastAsia="方正仿宋_GBK" w:cs="Times New Roman"/>
          <w:color w:val="000000"/>
          <w:sz w:val="24"/>
          <w:szCs w:val="24"/>
        </w:rPr>
      </w:pPr>
    </w:p>
    <w:p w14:paraId="428C9943">
      <w:pPr>
        <w:spacing w:line="360" w:lineRule="auto"/>
        <w:ind w:firstLine="480" w:firstLineChars="200"/>
        <w:jc w:val="center"/>
        <w:rPr>
          <w:rFonts w:hint="default" w:ascii="Times New Roman" w:hAnsi="Times New Roman" w:eastAsia="方正仿宋_GBK" w:cs="Times New Roman"/>
          <w:color w:val="000000"/>
          <w:sz w:val="24"/>
          <w:szCs w:val="24"/>
        </w:rPr>
      </w:pPr>
    </w:p>
    <w:p w14:paraId="793092D7">
      <w:pPr>
        <w:spacing w:line="360" w:lineRule="auto"/>
        <w:ind w:firstLine="480" w:firstLineChars="200"/>
        <w:jc w:val="center"/>
        <w:rPr>
          <w:rFonts w:hint="default" w:ascii="Times New Roman" w:hAnsi="Times New Roman" w:eastAsia="方正仿宋_GBK" w:cs="Times New Roman"/>
          <w:color w:val="000000"/>
          <w:sz w:val="24"/>
          <w:szCs w:val="24"/>
        </w:rPr>
      </w:pPr>
    </w:p>
    <w:p w14:paraId="7CB6AEF3">
      <w:pPr>
        <w:spacing w:line="360" w:lineRule="auto"/>
        <w:ind w:firstLine="480" w:firstLineChars="200"/>
        <w:jc w:val="center"/>
        <w:rPr>
          <w:rFonts w:hint="default" w:ascii="Times New Roman" w:hAnsi="Times New Roman" w:eastAsia="方正仿宋_GBK" w:cs="Times New Roman"/>
          <w:color w:val="000000"/>
          <w:sz w:val="24"/>
          <w:szCs w:val="24"/>
        </w:rPr>
      </w:pPr>
    </w:p>
    <w:p w14:paraId="4094D6C4">
      <w:pPr>
        <w:rPr>
          <w:rFonts w:hint="default" w:ascii="Times New Roman" w:hAnsi="Times New Roman" w:eastAsia="方正仿宋_GBK" w:cs="Times New Roman"/>
          <w:color w:val="000000"/>
        </w:rPr>
      </w:pPr>
    </w:p>
    <w:p w14:paraId="62739B5E">
      <w:pPr>
        <w:rPr>
          <w:rFonts w:hint="default" w:ascii="Times New Roman" w:hAnsi="Times New Roman" w:eastAsia="方正仿宋_GBK" w:cs="Times New Roman"/>
          <w:color w:val="000000"/>
        </w:rPr>
      </w:pPr>
    </w:p>
    <w:p w14:paraId="77E157AE">
      <w:pPr>
        <w:rPr>
          <w:rFonts w:hint="default" w:ascii="Times New Roman" w:hAnsi="Times New Roman" w:eastAsia="方正仿宋_GBK" w:cs="Times New Roman"/>
          <w:color w:val="000000"/>
        </w:rPr>
      </w:pPr>
    </w:p>
    <w:p w14:paraId="5A7CFD67">
      <w:pPr>
        <w:rPr>
          <w:rFonts w:hint="default" w:ascii="Times New Roman" w:hAnsi="Times New Roman" w:eastAsia="方正仿宋_GBK" w:cs="Times New Roman"/>
          <w:color w:val="000000"/>
        </w:rPr>
      </w:pPr>
    </w:p>
    <w:p w14:paraId="4A31E38C">
      <w:pPr>
        <w:pStyle w:val="4"/>
        <w:rPr>
          <w:rFonts w:hint="default"/>
        </w:rPr>
      </w:pPr>
    </w:p>
    <w:p w14:paraId="06730F54">
      <w:pPr>
        <w:rPr>
          <w:rFonts w:hint="default" w:ascii="Times New Roman" w:hAnsi="Times New Roman" w:eastAsia="方正仿宋_GBK" w:cs="Times New Roman"/>
          <w:color w:val="000000"/>
        </w:rPr>
      </w:pPr>
    </w:p>
    <w:p w14:paraId="2986DBC6">
      <w:pPr>
        <w:rPr>
          <w:rFonts w:hint="default" w:ascii="Times New Roman" w:hAnsi="Times New Roman" w:eastAsia="方正仿宋_GBK" w:cs="Times New Roman"/>
          <w:color w:val="000000"/>
        </w:rPr>
      </w:pPr>
    </w:p>
    <w:p w14:paraId="1086924F">
      <w:pPr>
        <w:rPr>
          <w:rFonts w:hint="default" w:ascii="Times New Roman" w:hAnsi="Times New Roman" w:eastAsia="方正仿宋_GBK" w:cs="Times New Roman"/>
          <w:color w:val="000000"/>
        </w:rPr>
      </w:pPr>
    </w:p>
    <w:p w14:paraId="1D774DAD">
      <w:pPr>
        <w:rPr>
          <w:rFonts w:hint="default" w:ascii="Times New Roman" w:hAnsi="Times New Roman" w:eastAsia="方正仿宋_GBK" w:cs="Times New Roman"/>
          <w:color w:val="000000"/>
        </w:rPr>
      </w:pPr>
    </w:p>
    <w:p w14:paraId="290E2411">
      <w:pPr>
        <w:rPr>
          <w:rFonts w:hint="default" w:ascii="Times New Roman" w:hAnsi="Times New Roman" w:eastAsia="方正仿宋_GBK" w:cs="Times New Roman"/>
          <w:color w:val="000000"/>
        </w:rPr>
      </w:pPr>
    </w:p>
    <w:p w14:paraId="615C3B4F">
      <w:pPr>
        <w:rPr>
          <w:rFonts w:hint="default" w:ascii="Times New Roman" w:hAnsi="Times New Roman" w:eastAsia="方正仿宋_GBK" w:cs="Times New Roman"/>
          <w:color w:val="000000"/>
        </w:rPr>
      </w:pPr>
    </w:p>
    <w:p w14:paraId="25BF72F8">
      <w:pPr>
        <w:rPr>
          <w:rFonts w:hint="default" w:ascii="Times New Roman" w:hAnsi="Times New Roman" w:eastAsia="方正仿宋_GBK" w:cs="Times New Roman"/>
          <w:color w:val="000000"/>
        </w:rPr>
      </w:pPr>
    </w:p>
    <w:p w14:paraId="006353E5">
      <w:pPr>
        <w:rPr>
          <w:rFonts w:hint="default" w:ascii="Times New Roman" w:hAnsi="Times New Roman" w:eastAsia="方正仿宋_GBK" w:cs="Times New Roman"/>
          <w:color w:val="000000"/>
        </w:rPr>
      </w:pPr>
    </w:p>
    <w:p w14:paraId="2E1AFEB7">
      <w:pPr>
        <w:spacing w:line="360" w:lineRule="auto"/>
        <w:ind w:firstLine="480" w:firstLineChars="200"/>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（结束）</w:t>
      </w:r>
    </w:p>
    <w:p w14:paraId="7DDCDE2C">
      <w:pPr>
        <w:spacing w:line="360" w:lineRule="auto"/>
        <w:ind w:firstLine="480" w:firstLineChars="200"/>
        <w:jc w:val="center"/>
        <w:rPr>
          <w:rFonts w:hint="default" w:ascii="Times New Roman" w:hAnsi="Times New Roman" w:eastAsia="方正仿宋_GBK" w:cs="Times New Roman"/>
          <w:color w:val="000000"/>
          <w:sz w:val="24"/>
          <w:szCs w:val="24"/>
        </w:rPr>
      </w:pPr>
    </w:p>
    <w:p w14:paraId="2A59E265">
      <w:pPr>
        <w:spacing w:line="360" w:lineRule="auto"/>
        <w:ind w:firstLine="480" w:firstLineChars="200"/>
        <w:jc w:val="center"/>
        <w:rPr>
          <w:rFonts w:hint="default" w:ascii="Times New Roman" w:hAnsi="Times New Roman" w:eastAsia="方正仿宋_GBK" w:cs="Times New Roman"/>
          <w:color w:val="000000"/>
          <w:sz w:val="24"/>
          <w:szCs w:val="24"/>
        </w:rPr>
      </w:pPr>
    </w:p>
    <w:p w14:paraId="6A6176DE">
      <w:pPr>
        <w:pStyle w:val="58"/>
        <w:rPr>
          <w:rFonts w:hint="default"/>
        </w:rPr>
      </w:pPr>
    </w:p>
    <w:p w14:paraId="12086427">
      <w:pPr>
        <w:spacing w:line="360" w:lineRule="auto"/>
        <w:ind w:firstLine="480" w:firstLineChars="200"/>
        <w:jc w:val="center"/>
        <w:rPr>
          <w:rFonts w:hint="default" w:ascii="Times New Roman" w:hAnsi="Times New Roman" w:eastAsia="方正仿宋_GBK" w:cs="Times New Roman"/>
          <w:color w:val="000000"/>
          <w:sz w:val="24"/>
          <w:szCs w:val="24"/>
        </w:rPr>
      </w:pPr>
    </w:p>
    <w:p w14:paraId="7CE3C6F9">
      <w:pPr>
        <w:spacing w:line="360" w:lineRule="auto"/>
        <w:ind w:firstLine="480" w:firstLineChars="200"/>
        <w:jc w:val="center"/>
        <w:rPr>
          <w:rFonts w:hint="default" w:ascii="Times New Roman" w:hAnsi="Times New Roman" w:eastAsia="方正仿宋_GBK" w:cs="Times New Roman"/>
          <w:color w:val="000000"/>
          <w:sz w:val="24"/>
          <w:szCs w:val="24"/>
        </w:rPr>
      </w:pPr>
    </w:p>
    <w:p w14:paraId="440384B5">
      <w:pPr>
        <w:spacing w:line="360" w:lineRule="auto"/>
        <w:ind w:firstLine="480" w:firstLineChars="200"/>
        <w:jc w:val="center"/>
        <w:rPr>
          <w:rFonts w:hint="default" w:ascii="Times New Roman" w:hAnsi="Times New Roman" w:eastAsia="方正仿宋_GBK" w:cs="Times New Roman"/>
          <w:color w:val="000000"/>
          <w:sz w:val="24"/>
          <w:szCs w:val="24"/>
        </w:rPr>
      </w:pPr>
    </w:p>
    <w:p w14:paraId="7BC86558">
      <w:pPr>
        <w:spacing w:line="360" w:lineRule="auto"/>
        <w:ind w:firstLine="480" w:firstLineChars="200"/>
        <w:jc w:val="center"/>
        <w:rPr>
          <w:rFonts w:hint="default" w:ascii="Times New Roman" w:hAnsi="Times New Roman" w:eastAsia="方正仿宋_GBK" w:cs="Times New Roman"/>
          <w:color w:val="000000"/>
          <w:sz w:val="24"/>
          <w:szCs w:val="24"/>
        </w:rPr>
      </w:pPr>
    </w:p>
    <w:p w14:paraId="1784A913">
      <w:pPr>
        <w:pStyle w:val="58"/>
        <w:rPr>
          <w:rFonts w:hint="default" w:ascii="Times New Roman" w:hAnsi="Times New Roman" w:eastAsia="方正仿宋_GBK" w:cs="Times New Roman"/>
          <w:color w:val="000000"/>
          <w:sz w:val="24"/>
          <w:szCs w:val="24"/>
        </w:rPr>
      </w:pPr>
    </w:p>
    <w:p w14:paraId="1D704E70">
      <w:pPr>
        <w:rPr>
          <w:rFonts w:hint="default" w:ascii="Times New Roman" w:hAnsi="Times New Roman" w:eastAsia="方正仿宋_GBK" w:cs="Times New Roman"/>
          <w:color w:val="000000"/>
          <w:sz w:val="24"/>
          <w:szCs w:val="24"/>
        </w:rPr>
      </w:pPr>
    </w:p>
    <w:p w14:paraId="15C9D7F6">
      <w:pPr>
        <w:pStyle w:val="58"/>
        <w:rPr>
          <w:rFonts w:hint="default" w:ascii="Times New Roman" w:hAnsi="Times New Roman" w:eastAsia="方正仿宋_GBK" w:cs="Times New Roman"/>
          <w:color w:val="000000"/>
          <w:sz w:val="24"/>
          <w:szCs w:val="24"/>
        </w:rPr>
      </w:pPr>
    </w:p>
    <w:p w14:paraId="4679C0A8">
      <w:pPr>
        <w:rPr>
          <w:rFonts w:hint="default" w:ascii="Times New Roman" w:hAnsi="Times New Roman" w:eastAsia="方正仿宋_GBK" w:cs="Times New Roman"/>
          <w:color w:val="000000"/>
          <w:sz w:val="24"/>
          <w:szCs w:val="24"/>
        </w:rPr>
      </w:pPr>
    </w:p>
    <w:p w14:paraId="23E7C6C3">
      <w:pPr>
        <w:pStyle w:val="58"/>
        <w:rPr>
          <w:rFonts w:hint="default"/>
        </w:rPr>
      </w:pPr>
    </w:p>
    <w:p w14:paraId="239A1EB8">
      <w:pPr>
        <w:spacing w:line="360" w:lineRule="auto"/>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附：</w:t>
      </w:r>
    </w:p>
    <w:p w14:paraId="5C9AF564">
      <w:pPr>
        <w:jc w:val="center"/>
        <w:rPr>
          <w:rFonts w:hint="default" w:ascii="Times New Roman" w:hAnsi="Times New Roman" w:eastAsia="方正仿宋_GBK" w:cs="Times New Roman"/>
          <w:b/>
          <w:bCs/>
          <w:color w:val="000000"/>
          <w:sz w:val="44"/>
          <w:szCs w:val="44"/>
        </w:rPr>
      </w:pPr>
      <w:r>
        <w:rPr>
          <w:rFonts w:hint="default" w:ascii="Times New Roman" w:hAnsi="Times New Roman" w:eastAsia="方正仿宋_GBK" w:cs="Times New Roman"/>
          <w:b/>
          <w:bCs/>
          <w:color w:val="000000"/>
          <w:sz w:val="44"/>
          <w:szCs w:val="44"/>
        </w:rPr>
        <w:t>竞争性比选文件发售登记表</w:t>
      </w:r>
    </w:p>
    <w:tbl>
      <w:tblPr>
        <w:tblStyle w:val="59"/>
        <w:tblW w:w="872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2452"/>
        <w:gridCol w:w="1145"/>
        <w:gridCol w:w="3355"/>
      </w:tblGrid>
      <w:tr w14:paraId="0BDCAB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770" w:type="dxa"/>
            <w:vAlign w:val="center"/>
          </w:tcPr>
          <w:p w14:paraId="4DCCA8B1">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项目编号</w:t>
            </w:r>
          </w:p>
        </w:tc>
        <w:tc>
          <w:tcPr>
            <w:tcW w:w="6952" w:type="dxa"/>
            <w:gridSpan w:val="3"/>
            <w:vAlign w:val="center"/>
          </w:tcPr>
          <w:p w14:paraId="5184C011">
            <w:pPr>
              <w:jc w:val="center"/>
              <w:rPr>
                <w:rFonts w:hint="default" w:ascii="Times New Roman" w:hAnsi="Times New Roman" w:eastAsia="方正仿宋_GBK" w:cs="Times New Roman"/>
                <w:color w:val="000000"/>
                <w:sz w:val="30"/>
                <w:szCs w:val="30"/>
              </w:rPr>
            </w:pPr>
          </w:p>
        </w:tc>
      </w:tr>
      <w:tr w14:paraId="5FBF18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1770" w:type="dxa"/>
            <w:vAlign w:val="center"/>
          </w:tcPr>
          <w:p w14:paraId="49E839C5">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项目名称</w:t>
            </w:r>
          </w:p>
        </w:tc>
        <w:tc>
          <w:tcPr>
            <w:tcW w:w="6952" w:type="dxa"/>
            <w:gridSpan w:val="3"/>
            <w:vAlign w:val="center"/>
          </w:tcPr>
          <w:p w14:paraId="749F81A1">
            <w:pPr>
              <w:jc w:val="center"/>
              <w:rPr>
                <w:rFonts w:hint="default" w:ascii="Times New Roman" w:hAnsi="Times New Roman" w:eastAsia="方正仿宋_GBK" w:cs="Times New Roman"/>
                <w:color w:val="000000"/>
                <w:sz w:val="30"/>
                <w:szCs w:val="30"/>
              </w:rPr>
            </w:pPr>
          </w:p>
        </w:tc>
      </w:tr>
      <w:tr w14:paraId="5FE67B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770" w:type="dxa"/>
            <w:vAlign w:val="center"/>
          </w:tcPr>
          <w:p w14:paraId="3875666B">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供应商名称</w:t>
            </w:r>
          </w:p>
        </w:tc>
        <w:tc>
          <w:tcPr>
            <w:tcW w:w="6952" w:type="dxa"/>
            <w:gridSpan w:val="3"/>
            <w:vAlign w:val="bottom"/>
          </w:tcPr>
          <w:p w14:paraId="4F704CAC">
            <w:pPr>
              <w:ind w:firstLine="4200" w:firstLineChars="14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（公章）</w:t>
            </w:r>
          </w:p>
        </w:tc>
      </w:tr>
      <w:tr w14:paraId="604DCA7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09A86C4F">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联系人</w:t>
            </w:r>
          </w:p>
        </w:tc>
        <w:tc>
          <w:tcPr>
            <w:tcW w:w="2452" w:type="dxa"/>
            <w:vAlign w:val="center"/>
          </w:tcPr>
          <w:p w14:paraId="27249AF8">
            <w:pPr>
              <w:jc w:val="left"/>
              <w:rPr>
                <w:rFonts w:hint="default" w:ascii="Times New Roman" w:hAnsi="Times New Roman" w:eastAsia="方正仿宋_GBK" w:cs="Times New Roman"/>
                <w:color w:val="000000"/>
                <w:sz w:val="30"/>
                <w:szCs w:val="30"/>
              </w:rPr>
            </w:pPr>
          </w:p>
        </w:tc>
        <w:tc>
          <w:tcPr>
            <w:tcW w:w="1145" w:type="dxa"/>
            <w:vAlign w:val="center"/>
          </w:tcPr>
          <w:p w14:paraId="1D1CB8D3">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手机</w:t>
            </w:r>
          </w:p>
        </w:tc>
        <w:tc>
          <w:tcPr>
            <w:tcW w:w="3355" w:type="dxa"/>
            <w:vAlign w:val="center"/>
          </w:tcPr>
          <w:p w14:paraId="502F12A8">
            <w:pPr>
              <w:jc w:val="left"/>
              <w:rPr>
                <w:rFonts w:hint="default" w:ascii="Times New Roman" w:hAnsi="Times New Roman" w:eastAsia="方正仿宋_GBK" w:cs="Times New Roman"/>
                <w:color w:val="000000"/>
                <w:sz w:val="30"/>
                <w:szCs w:val="30"/>
              </w:rPr>
            </w:pPr>
          </w:p>
        </w:tc>
      </w:tr>
      <w:tr w14:paraId="69AD15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11607B34">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办公电话</w:t>
            </w:r>
          </w:p>
        </w:tc>
        <w:tc>
          <w:tcPr>
            <w:tcW w:w="2452" w:type="dxa"/>
            <w:vAlign w:val="center"/>
          </w:tcPr>
          <w:p w14:paraId="53831FCF">
            <w:pPr>
              <w:jc w:val="left"/>
              <w:rPr>
                <w:rFonts w:hint="default" w:ascii="Times New Roman" w:hAnsi="Times New Roman" w:eastAsia="方正仿宋_GBK" w:cs="Times New Roman"/>
                <w:color w:val="000000"/>
                <w:sz w:val="30"/>
                <w:szCs w:val="30"/>
              </w:rPr>
            </w:pPr>
          </w:p>
          <w:p w14:paraId="1DDBD4C4">
            <w:pPr>
              <w:jc w:val="left"/>
              <w:rPr>
                <w:rFonts w:hint="default" w:ascii="Times New Roman" w:hAnsi="Times New Roman" w:eastAsia="方正仿宋_GBK" w:cs="Times New Roman"/>
                <w:color w:val="000000"/>
                <w:sz w:val="30"/>
                <w:szCs w:val="30"/>
              </w:rPr>
            </w:pPr>
          </w:p>
        </w:tc>
        <w:tc>
          <w:tcPr>
            <w:tcW w:w="1145" w:type="dxa"/>
            <w:vAlign w:val="center"/>
          </w:tcPr>
          <w:p w14:paraId="2BA7E9AC">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传真</w:t>
            </w:r>
          </w:p>
        </w:tc>
        <w:tc>
          <w:tcPr>
            <w:tcW w:w="3355" w:type="dxa"/>
            <w:vAlign w:val="center"/>
          </w:tcPr>
          <w:p w14:paraId="188F64C7">
            <w:pPr>
              <w:jc w:val="left"/>
              <w:rPr>
                <w:rFonts w:hint="default" w:ascii="Times New Roman" w:hAnsi="Times New Roman" w:eastAsia="方正仿宋_GBK" w:cs="Times New Roman"/>
                <w:color w:val="000000"/>
                <w:sz w:val="30"/>
                <w:szCs w:val="30"/>
              </w:rPr>
            </w:pPr>
          </w:p>
        </w:tc>
      </w:tr>
      <w:tr w14:paraId="7CCD2B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770" w:type="dxa"/>
            <w:vAlign w:val="center"/>
          </w:tcPr>
          <w:p w14:paraId="6F0D1A30">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邮箱</w:t>
            </w:r>
          </w:p>
        </w:tc>
        <w:tc>
          <w:tcPr>
            <w:tcW w:w="6952" w:type="dxa"/>
            <w:gridSpan w:val="3"/>
            <w:vAlign w:val="center"/>
          </w:tcPr>
          <w:p w14:paraId="3E0527EF">
            <w:pPr>
              <w:jc w:val="left"/>
              <w:rPr>
                <w:rFonts w:hint="default" w:ascii="Times New Roman" w:hAnsi="Times New Roman" w:eastAsia="方正仿宋_GBK" w:cs="Times New Roman"/>
                <w:color w:val="000000"/>
                <w:sz w:val="30"/>
                <w:szCs w:val="30"/>
              </w:rPr>
            </w:pPr>
          </w:p>
          <w:p w14:paraId="6B5D8237">
            <w:pPr>
              <w:jc w:val="left"/>
              <w:rPr>
                <w:rFonts w:hint="default" w:ascii="Times New Roman" w:hAnsi="Times New Roman" w:eastAsia="方正仿宋_GBK" w:cs="Times New Roman"/>
                <w:color w:val="000000"/>
                <w:sz w:val="30"/>
                <w:szCs w:val="30"/>
              </w:rPr>
            </w:pPr>
          </w:p>
        </w:tc>
      </w:tr>
      <w:tr w14:paraId="11AA8A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70" w:type="dxa"/>
            <w:vAlign w:val="center"/>
          </w:tcPr>
          <w:p w14:paraId="45927646">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单位地址</w:t>
            </w:r>
          </w:p>
        </w:tc>
        <w:tc>
          <w:tcPr>
            <w:tcW w:w="6952" w:type="dxa"/>
            <w:gridSpan w:val="3"/>
            <w:vAlign w:val="center"/>
          </w:tcPr>
          <w:p w14:paraId="5577E86B">
            <w:pPr>
              <w:jc w:val="left"/>
              <w:rPr>
                <w:rFonts w:hint="default" w:ascii="Times New Roman" w:hAnsi="Times New Roman" w:eastAsia="方正仿宋_GBK" w:cs="Times New Roman"/>
                <w:color w:val="000000"/>
                <w:sz w:val="30"/>
                <w:szCs w:val="30"/>
              </w:rPr>
            </w:pPr>
          </w:p>
        </w:tc>
      </w:tr>
      <w:tr w14:paraId="311C57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770" w:type="dxa"/>
            <w:vAlign w:val="center"/>
          </w:tcPr>
          <w:p w14:paraId="3C8B1B14">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购买时间</w:t>
            </w:r>
          </w:p>
        </w:tc>
        <w:tc>
          <w:tcPr>
            <w:tcW w:w="6952" w:type="dxa"/>
            <w:gridSpan w:val="3"/>
            <w:vAlign w:val="center"/>
          </w:tcPr>
          <w:p w14:paraId="5AF0649F">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202</w:t>
            </w:r>
            <w:r>
              <w:rPr>
                <w:rFonts w:hint="eastAsia" w:ascii="Times New Roman" w:hAnsi="Times New Roman" w:eastAsia="方正仿宋_GBK" w:cs="Times New Roman"/>
                <w:color w:val="000000"/>
                <w:sz w:val="30"/>
                <w:szCs w:val="30"/>
                <w:lang w:val="en-US" w:eastAsia="zh-CN"/>
              </w:rPr>
              <w:t>5</w:t>
            </w:r>
            <w:r>
              <w:rPr>
                <w:rFonts w:hint="default" w:ascii="Times New Roman" w:hAnsi="Times New Roman" w:eastAsia="方正仿宋_GBK" w:cs="Times New Roman"/>
                <w:color w:val="000000"/>
                <w:sz w:val="30"/>
                <w:szCs w:val="30"/>
              </w:rPr>
              <w:t>年   月   日</w:t>
            </w:r>
          </w:p>
        </w:tc>
      </w:tr>
      <w:tr w14:paraId="6535D2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770" w:type="dxa"/>
            <w:vAlign w:val="center"/>
          </w:tcPr>
          <w:p w14:paraId="4E4FDDC8">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竞争性比选文件售价</w:t>
            </w:r>
          </w:p>
        </w:tc>
        <w:tc>
          <w:tcPr>
            <w:tcW w:w="6952" w:type="dxa"/>
            <w:gridSpan w:val="3"/>
            <w:vAlign w:val="center"/>
          </w:tcPr>
          <w:p w14:paraId="569749BE">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人民币：500元/份（售后不退）</w:t>
            </w:r>
          </w:p>
        </w:tc>
      </w:tr>
      <w:tr w14:paraId="7646B0B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trPr>
        <w:tc>
          <w:tcPr>
            <w:tcW w:w="1770" w:type="dxa"/>
            <w:vAlign w:val="center"/>
          </w:tcPr>
          <w:p w14:paraId="241F0EFB">
            <w:pPr>
              <w:jc w:val="center"/>
              <w:rPr>
                <w:rFonts w:hint="default" w:ascii="Times New Roman" w:hAnsi="Times New Roman" w:eastAsia="方正仿宋_GBK" w:cs="Times New Roman"/>
                <w:color w:val="000000"/>
                <w:szCs w:val="28"/>
              </w:rPr>
            </w:pPr>
            <w:r>
              <w:rPr>
                <w:rFonts w:hint="default" w:ascii="Times New Roman" w:hAnsi="Times New Roman" w:eastAsia="方正仿宋_GBK" w:cs="Times New Roman"/>
                <w:color w:val="000000"/>
                <w:sz w:val="30"/>
                <w:szCs w:val="30"/>
              </w:rPr>
              <w:t>付款二维码</w:t>
            </w:r>
          </w:p>
        </w:tc>
        <w:tc>
          <w:tcPr>
            <w:tcW w:w="6952" w:type="dxa"/>
            <w:gridSpan w:val="3"/>
            <w:vAlign w:val="center"/>
          </w:tcPr>
          <w:p w14:paraId="0BA0AA21">
            <w:pPr>
              <w:jc w:val="center"/>
              <w:rPr>
                <w:rFonts w:hint="default" w:ascii="Times New Roman" w:hAnsi="Times New Roman" w:eastAsia="方正仿宋_GBK" w:cs="Times New Roman"/>
                <w:color w:val="000000"/>
                <w:sz w:val="30"/>
                <w:szCs w:val="30"/>
              </w:rPr>
            </w:pPr>
          </w:p>
          <w:p w14:paraId="50ADFD29">
            <w:pPr>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8"/>
                          <a:stretch>
                            <a:fillRect/>
                          </a:stretch>
                        </pic:blipFill>
                        <pic:spPr>
                          <a:xfrm>
                            <a:off x="0" y="0"/>
                            <a:ext cx="2023745" cy="1995805"/>
                          </a:xfrm>
                          <a:prstGeom prst="rect">
                            <a:avLst/>
                          </a:prstGeom>
                          <a:noFill/>
                          <a:ln>
                            <a:noFill/>
                          </a:ln>
                        </pic:spPr>
                      </pic:pic>
                    </a:graphicData>
                  </a:graphic>
                </wp:inline>
              </w:drawing>
            </w:r>
          </w:p>
        </w:tc>
      </w:tr>
    </w:tbl>
    <w:p w14:paraId="7F7236FD">
      <w:pPr>
        <w:spacing w:line="360" w:lineRule="auto"/>
        <w:ind w:firstLine="480" w:firstLineChars="200"/>
        <w:jc w:val="center"/>
        <w:rPr>
          <w:rFonts w:hint="default" w:ascii="Times New Roman" w:hAnsi="Times New Roman" w:eastAsia="方正仿宋_GBK" w:cs="Times New Roman"/>
          <w:color w:val="000000"/>
          <w:sz w:val="24"/>
          <w:szCs w:val="24"/>
        </w:rPr>
      </w:pPr>
    </w:p>
    <w:p w14:paraId="36BDE744">
      <w:pPr>
        <w:spacing w:line="360" w:lineRule="auto"/>
        <w:ind w:firstLine="480" w:firstLineChars="200"/>
        <w:jc w:val="center"/>
        <w:rPr>
          <w:rFonts w:hint="default" w:ascii="Times New Roman" w:hAnsi="Times New Roman" w:eastAsia="方正仿宋_GBK" w:cs="Times New Roman"/>
          <w:color w:val="000000"/>
          <w:sz w:val="24"/>
          <w:szCs w:val="24"/>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_x000B__x000C_">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2312">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5D8FA">
    <w:pPr>
      <w:pStyle w:val="38"/>
      <w:framePr w:wrap="around" w:vAnchor="text" w:hAnchor="margin" w:xAlign="center" w:y="1"/>
      <w:jc w:val="center"/>
      <w:rPr>
        <w:rStyle w:val="63"/>
        <w:rFonts w:ascii="宋体"/>
        <w:sz w:val="21"/>
        <w:szCs w:val="21"/>
      </w:rPr>
    </w:pPr>
    <w:r>
      <w:rPr>
        <w:rFonts w:ascii="宋体"/>
        <w:sz w:val="21"/>
        <w:szCs w:val="21"/>
      </w:rPr>
      <w:fldChar w:fldCharType="begin"/>
    </w:r>
    <w:r>
      <w:rPr>
        <w:rStyle w:val="63"/>
        <w:rFonts w:ascii="宋体"/>
        <w:sz w:val="21"/>
        <w:szCs w:val="21"/>
      </w:rPr>
      <w:instrText xml:space="preserve">PAGE  </w:instrText>
    </w:r>
    <w:r>
      <w:rPr>
        <w:rFonts w:ascii="宋体"/>
        <w:sz w:val="21"/>
        <w:szCs w:val="21"/>
      </w:rPr>
      <w:fldChar w:fldCharType="separate"/>
    </w:r>
    <w:r>
      <w:rPr>
        <w:rStyle w:val="63"/>
        <w:rFonts w:ascii="宋体"/>
        <w:sz w:val="21"/>
        <w:szCs w:val="21"/>
      </w:rPr>
      <w:t>- 3 -</w:t>
    </w:r>
    <w:r>
      <w:rPr>
        <w:rFonts w:ascii="宋体"/>
        <w:sz w:val="21"/>
        <w:szCs w:val="21"/>
      </w:rPr>
      <w:fldChar w:fldCharType="end"/>
    </w:r>
  </w:p>
  <w:p w14:paraId="53EE7046">
    <w:pPr>
      <w:pStyle w:val="3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83FD2">
    <w:pPr>
      <w:pStyle w:val="38"/>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29F503E7">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035D6">
    <w:pPr>
      <w:pStyle w:val="38"/>
      <w:framePr w:wrap="around" w:vAnchor="text" w:hAnchor="margin" w:xAlign="center" w:y="1"/>
      <w:rPr>
        <w:rStyle w:val="63"/>
      </w:rPr>
    </w:pPr>
  </w:p>
  <w:p w14:paraId="5F120497">
    <w:pPr>
      <w:pStyle w:val="38"/>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2890">
    <w:pPr>
      <w:pStyle w:val="38"/>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58FB1">
    <w:pPr>
      <w:pStyle w:val="38"/>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405CF3A4">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63003">
    <w:pPr>
      <w:pStyle w:val="38"/>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- 27 -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EF437">
    <w:pPr>
      <w:pStyle w:val="38"/>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28112DC9">
    <w:pPr>
      <w:pStyle w:val="38"/>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1820B">
    <w:pPr>
      <w:pStyle w:val="38"/>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- 27 -</w:t>
    </w:r>
    <w:r>
      <w:rPr>
        <w:rFonts w:ascii="宋体" w:hAnsi="宋体"/>
        <w:sz w:val="21"/>
        <w:szCs w:val="21"/>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ED16B">
    <w:pPr>
      <w:pStyle w:val="38"/>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031AB65D">
    <w:pPr>
      <w:pStyle w:val="38"/>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5222B">
    <w:pPr>
      <w:pStyle w:val="38"/>
      <w:jc w:val="center"/>
      <w:rPr>
        <w:rFonts w:ascii="宋体" w:hAnsi="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9EA9E8">
                          <w:pPr>
                            <w:pStyle w:val="38"/>
                          </w:pPr>
                          <w:r>
                            <w:fldChar w:fldCharType="begin"/>
                          </w:r>
                          <w:r>
                            <w:instrText xml:space="preserve"> PAGE  \* MERGEFORMAT </w:instrText>
                          </w:r>
                          <w:r>
                            <w:fldChar w:fldCharType="separate"/>
                          </w:r>
                          <w:r>
                            <w:t>- 4 -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759EA9E8">
                    <w:pPr>
                      <w:pStyle w:val="38"/>
                    </w:pPr>
                    <w:r>
                      <w:fldChar w:fldCharType="begin"/>
                    </w:r>
                    <w:r>
                      <w:instrText xml:space="preserve"> PAGE  \* MERGEFORMAT </w:instrText>
                    </w:r>
                    <w:r>
                      <w:fldChar w:fldCharType="separate"/>
                    </w:r>
                    <w:r>
                      <w:t>- 4 -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44BAE">
    <w:pPr>
      <w:pStyle w:val="38"/>
      <w:jc w:val="center"/>
      <w:rPr>
        <w:rFonts w:ascii="宋体" w:hAnsi="宋体"/>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BAE19D">
                          <w:pPr>
                            <w:pStyle w:val="38"/>
                          </w:pPr>
                          <w:r>
                            <w:fldChar w:fldCharType="begin"/>
                          </w:r>
                          <w:r>
                            <w:instrText xml:space="preserve"> PAGE  \* MERGEFORMAT </w:instrText>
                          </w:r>
                          <w:r>
                            <w:fldChar w:fldCharType="separate"/>
                          </w:r>
                          <w:r>
                            <w:t>- 5 -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76BAE19D">
                    <w:pPr>
                      <w:pStyle w:val="38"/>
                    </w:pPr>
                    <w:r>
                      <w:fldChar w:fldCharType="begin"/>
                    </w:r>
                    <w:r>
                      <w:instrText xml:space="preserve"> PAGE  \* MERGEFORMAT </w:instrText>
                    </w:r>
                    <w:r>
                      <w:fldChar w:fldCharType="separate"/>
                    </w:r>
                    <w:r>
                      <w:t>- 5 -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4023C">
    <w:pPr>
      <w:pStyle w:val="39"/>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E1B91">
    <w:pPr>
      <w:pStyle w:val="3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B44CE">
    <w:pPr>
      <w:pStyle w:val="39"/>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572EA7"/>
    <w:multiLevelType w:val="singleLevel"/>
    <w:tmpl w:val="BB572EA7"/>
    <w:lvl w:ilvl="0" w:tentative="0">
      <w:start w:val="1"/>
      <w:numFmt w:val="chineseCounting"/>
      <w:suff w:val="nothing"/>
      <w:lvlText w:val="%1、"/>
      <w:lvlJc w:val="left"/>
      <w:rPr>
        <w:rFonts w:hint="eastAsia"/>
      </w:rPr>
    </w:lvl>
  </w:abstractNum>
  <w:abstractNum w:abstractNumId="1">
    <w:nsid w:val="FFBB8B47"/>
    <w:multiLevelType w:val="singleLevel"/>
    <w:tmpl w:val="FFBB8B47"/>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NDY0NDVmNWJiZjdjMzJjMWY0OTRjZDI1MjlkNm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1A7A3E"/>
    <w:rsid w:val="0145713C"/>
    <w:rsid w:val="014E0DA6"/>
    <w:rsid w:val="022C24DE"/>
    <w:rsid w:val="028264D2"/>
    <w:rsid w:val="02E96621"/>
    <w:rsid w:val="03396C13"/>
    <w:rsid w:val="037F3DC3"/>
    <w:rsid w:val="039762BC"/>
    <w:rsid w:val="03F9551E"/>
    <w:rsid w:val="04750437"/>
    <w:rsid w:val="04F12F5A"/>
    <w:rsid w:val="05062F2F"/>
    <w:rsid w:val="056A3A4A"/>
    <w:rsid w:val="056F4EFC"/>
    <w:rsid w:val="05BF36CD"/>
    <w:rsid w:val="066F6E3E"/>
    <w:rsid w:val="0677180A"/>
    <w:rsid w:val="0689616B"/>
    <w:rsid w:val="06F96B62"/>
    <w:rsid w:val="070954E4"/>
    <w:rsid w:val="073A744C"/>
    <w:rsid w:val="0760288A"/>
    <w:rsid w:val="07FF04EE"/>
    <w:rsid w:val="0851622D"/>
    <w:rsid w:val="0858402D"/>
    <w:rsid w:val="08C571E9"/>
    <w:rsid w:val="09004BAE"/>
    <w:rsid w:val="0A054A20"/>
    <w:rsid w:val="0AFE6B72"/>
    <w:rsid w:val="0B1E4ED1"/>
    <w:rsid w:val="0C3F01FB"/>
    <w:rsid w:val="0CF63E15"/>
    <w:rsid w:val="0E5C1B04"/>
    <w:rsid w:val="0E611AD0"/>
    <w:rsid w:val="0EF10D38"/>
    <w:rsid w:val="0F6E41FC"/>
    <w:rsid w:val="0F7F650A"/>
    <w:rsid w:val="12695089"/>
    <w:rsid w:val="13A64DD3"/>
    <w:rsid w:val="146F59D9"/>
    <w:rsid w:val="147C72F5"/>
    <w:rsid w:val="15B91E83"/>
    <w:rsid w:val="15E91B84"/>
    <w:rsid w:val="16D440E3"/>
    <w:rsid w:val="171A1E76"/>
    <w:rsid w:val="17345C65"/>
    <w:rsid w:val="18422604"/>
    <w:rsid w:val="193E2EFD"/>
    <w:rsid w:val="19E82B4E"/>
    <w:rsid w:val="1A394006"/>
    <w:rsid w:val="1A467903"/>
    <w:rsid w:val="1A8B54F9"/>
    <w:rsid w:val="1ADC289C"/>
    <w:rsid w:val="1B687433"/>
    <w:rsid w:val="1C71301E"/>
    <w:rsid w:val="1E2C5D7D"/>
    <w:rsid w:val="1F9828F0"/>
    <w:rsid w:val="1F9D3050"/>
    <w:rsid w:val="20322F5E"/>
    <w:rsid w:val="210F504D"/>
    <w:rsid w:val="219C2D85"/>
    <w:rsid w:val="22F15352"/>
    <w:rsid w:val="24127EF7"/>
    <w:rsid w:val="24F41C97"/>
    <w:rsid w:val="25031F90"/>
    <w:rsid w:val="25996526"/>
    <w:rsid w:val="263F78E3"/>
    <w:rsid w:val="266E3D77"/>
    <w:rsid w:val="266F0A68"/>
    <w:rsid w:val="26EA473F"/>
    <w:rsid w:val="27B12732"/>
    <w:rsid w:val="28920A3E"/>
    <w:rsid w:val="28AF3479"/>
    <w:rsid w:val="29951BE3"/>
    <w:rsid w:val="299A1C85"/>
    <w:rsid w:val="29C76AA7"/>
    <w:rsid w:val="29CF0826"/>
    <w:rsid w:val="2A595F18"/>
    <w:rsid w:val="2AD15A4E"/>
    <w:rsid w:val="2B4D3536"/>
    <w:rsid w:val="2B9A6367"/>
    <w:rsid w:val="2B9E21DA"/>
    <w:rsid w:val="2C57422B"/>
    <w:rsid w:val="2C5E2D72"/>
    <w:rsid w:val="2CF12F33"/>
    <w:rsid w:val="2D77711D"/>
    <w:rsid w:val="2D91668F"/>
    <w:rsid w:val="2DB02FEC"/>
    <w:rsid w:val="2E817FF1"/>
    <w:rsid w:val="2ECE53C8"/>
    <w:rsid w:val="2EF03E21"/>
    <w:rsid w:val="2F9C03F4"/>
    <w:rsid w:val="2FFD70E5"/>
    <w:rsid w:val="3034687E"/>
    <w:rsid w:val="30680DCF"/>
    <w:rsid w:val="31056DC5"/>
    <w:rsid w:val="313A086B"/>
    <w:rsid w:val="31910979"/>
    <w:rsid w:val="32C20171"/>
    <w:rsid w:val="330F5DEE"/>
    <w:rsid w:val="331F7A58"/>
    <w:rsid w:val="33293142"/>
    <w:rsid w:val="33D447D3"/>
    <w:rsid w:val="34A91F03"/>
    <w:rsid w:val="35AA1D12"/>
    <w:rsid w:val="365B5E2B"/>
    <w:rsid w:val="367D04D6"/>
    <w:rsid w:val="369D3560"/>
    <w:rsid w:val="36B14785"/>
    <w:rsid w:val="37154D43"/>
    <w:rsid w:val="373258E0"/>
    <w:rsid w:val="37424565"/>
    <w:rsid w:val="37D36CAA"/>
    <w:rsid w:val="37D43A50"/>
    <w:rsid w:val="37F04A50"/>
    <w:rsid w:val="3819481C"/>
    <w:rsid w:val="38B320CF"/>
    <w:rsid w:val="38F669EE"/>
    <w:rsid w:val="3A0D43C8"/>
    <w:rsid w:val="3A233512"/>
    <w:rsid w:val="3A371445"/>
    <w:rsid w:val="3AAB6D35"/>
    <w:rsid w:val="3B023801"/>
    <w:rsid w:val="3B0A7F94"/>
    <w:rsid w:val="3B577C75"/>
    <w:rsid w:val="3BC40365"/>
    <w:rsid w:val="3BE949C1"/>
    <w:rsid w:val="3BEF3452"/>
    <w:rsid w:val="3BF31616"/>
    <w:rsid w:val="3C7E1575"/>
    <w:rsid w:val="3C9E16A6"/>
    <w:rsid w:val="3CB92428"/>
    <w:rsid w:val="3D31661F"/>
    <w:rsid w:val="3D7258DE"/>
    <w:rsid w:val="3D972E24"/>
    <w:rsid w:val="3ED96F6F"/>
    <w:rsid w:val="3F339CF2"/>
    <w:rsid w:val="3F8B74A4"/>
    <w:rsid w:val="40FB566E"/>
    <w:rsid w:val="410D5CD9"/>
    <w:rsid w:val="414D7284"/>
    <w:rsid w:val="41DA54D8"/>
    <w:rsid w:val="422E75D1"/>
    <w:rsid w:val="426F3144"/>
    <w:rsid w:val="42725710"/>
    <w:rsid w:val="43D2242F"/>
    <w:rsid w:val="43FB4368"/>
    <w:rsid w:val="449F537A"/>
    <w:rsid w:val="44A27E03"/>
    <w:rsid w:val="44BA3CFD"/>
    <w:rsid w:val="45253176"/>
    <w:rsid w:val="456819E0"/>
    <w:rsid w:val="456E6962"/>
    <w:rsid w:val="46093860"/>
    <w:rsid w:val="46244D49"/>
    <w:rsid w:val="46685279"/>
    <w:rsid w:val="471A1ED2"/>
    <w:rsid w:val="47F86AEC"/>
    <w:rsid w:val="48820B34"/>
    <w:rsid w:val="48C93E03"/>
    <w:rsid w:val="48E1539E"/>
    <w:rsid w:val="491639B0"/>
    <w:rsid w:val="497B4045"/>
    <w:rsid w:val="498265D4"/>
    <w:rsid w:val="49B4660E"/>
    <w:rsid w:val="49E12C8F"/>
    <w:rsid w:val="49EC3FFA"/>
    <w:rsid w:val="4A115C99"/>
    <w:rsid w:val="4AE232F9"/>
    <w:rsid w:val="4C83676C"/>
    <w:rsid w:val="4D785BA5"/>
    <w:rsid w:val="4DC3109D"/>
    <w:rsid w:val="4E200716"/>
    <w:rsid w:val="4F345086"/>
    <w:rsid w:val="4F7D74A2"/>
    <w:rsid w:val="506174F8"/>
    <w:rsid w:val="508C10AF"/>
    <w:rsid w:val="51BC0228"/>
    <w:rsid w:val="520B348B"/>
    <w:rsid w:val="521C2FA3"/>
    <w:rsid w:val="52354064"/>
    <w:rsid w:val="527D16B8"/>
    <w:rsid w:val="53802166"/>
    <w:rsid w:val="53D77AC9"/>
    <w:rsid w:val="53DA4EC3"/>
    <w:rsid w:val="545C1B91"/>
    <w:rsid w:val="551D4BD1"/>
    <w:rsid w:val="56286BAD"/>
    <w:rsid w:val="56A720FC"/>
    <w:rsid w:val="57341DC9"/>
    <w:rsid w:val="5895585D"/>
    <w:rsid w:val="58CA7FF7"/>
    <w:rsid w:val="58CB4EB8"/>
    <w:rsid w:val="5AEA2422"/>
    <w:rsid w:val="5B2341AA"/>
    <w:rsid w:val="5B364206"/>
    <w:rsid w:val="5B3C4B20"/>
    <w:rsid w:val="5C73006C"/>
    <w:rsid w:val="5CF40885"/>
    <w:rsid w:val="5D6E0743"/>
    <w:rsid w:val="5DCF6066"/>
    <w:rsid w:val="5DDE0205"/>
    <w:rsid w:val="5DDFECEA"/>
    <w:rsid w:val="5DEB7AD5"/>
    <w:rsid w:val="5E7B0BF2"/>
    <w:rsid w:val="5EA6162B"/>
    <w:rsid w:val="5EB24AA4"/>
    <w:rsid w:val="5ED35208"/>
    <w:rsid w:val="5EF75BD4"/>
    <w:rsid w:val="5F475654"/>
    <w:rsid w:val="5F605669"/>
    <w:rsid w:val="5F85376F"/>
    <w:rsid w:val="60A725D1"/>
    <w:rsid w:val="619A0388"/>
    <w:rsid w:val="623E7E99"/>
    <w:rsid w:val="62881022"/>
    <w:rsid w:val="638F17EC"/>
    <w:rsid w:val="656B38D5"/>
    <w:rsid w:val="6637652F"/>
    <w:rsid w:val="672506F4"/>
    <w:rsid w:val="672B0E85"/>
    <w:rsid w:val="674E0CE2"/>
    <w:rsid w:val="679017D6"/>
    <w:rsid w:val="67E20393"/>
    <w:rsid w:val="67F0485E"/>
    <w:rsid w:val="682B3AE8"/>
    <w:rsid w:val="683550BE"/>
    <w:rsid w:val="68361CF4"/>
    <w:rsid w:val="68EF720B"/>
    <w:rsid w:val="6942733B"/>
    <w:rsid w:val="6974326C"/>
    <w:rsid w:val="6A4964A7"/>
    <w:rsid w:val="6A885221"/>
    <w:rsid w:val="6AD77F57"/>
    <w:rsid w:val="6BA8492A"/>
    <w:rsid w:val="6BA94DAF"/>
    <w:rsid w:val="6BC5148A"/>
    <w:rsid w:val="6C650200"/>
    <w:rsid w:val="6C8E59D1"/>
    <w:rsid w:val="6D380561"/>
    <w:rsid w:val="6D4251BA"/>
    <w:rsid w:val="6DBA7064"/>
    <w:rsid w:val="6DEF6822"/>
    <w:rsid w:val="6F581A6C"/>
    <w:rsid w:val="6F7F5E4D"/>
    <w:rsid w:val="6FDFAF7D"/>
    <w:rsid w:val="6FF06CAD"/>
    <w:rsid w:val="6FFB3825"/>
    <w:rsid w:val="70390D6C"/>
    <w:rsid w:val="70A81834"/>
    <w:rsid w:val="71213CDA"/>
    <w:rsid w:val="71E1778C"/>
    <w:rsid w:val="72426217"/>
    <w:rsid w:val="73016068"/>
    <w:rsid w:val="742A559B"/>
    <w:rsid w:val="74650381"/>
    <w:rsid w:val="74707F72"/>
    <w:rsid w:val="74836A59"/>
    <w:rsid w:val="74B3579F"/>
    <w:rsid w:val="7513602F"/>
    <w:rsid w:val="75873639"/>
    <w:rsid w:val="76C474D6"/>
    <w:rsid w:val="76EDA62F"/>
    <w:rsid w:val="78A87264"/>
    <w:rsid w:val="78CE7F55"/>
    <w:rsid w:val="79312F28"/>
    <w:rsid w:val="79B34EC4"/>
    <w:rsid w:val="79BF6A29"/>
    <w:rsid w:val="79DA0862"/>
    <w:rsid w:val="7A490206"/>
    <w:rsid w:val="7B4F788A"/>
    <w:rsid w:val="7B7A085A"/>
    <w:rsid w:val="7B8A1FFF"/>
    <w:rsid w:val="7BB01B2B"/>
    <w:rsid w:val="7CB77BE8"/>
    <w:rsid w:val="7D157953"/>
    <w:rsid w:val="7D7168B1"/>
    <w:rsid w:val="7DAD40A8"/>
    <w:rsid w:val="7E05024D"/>
    <w:rsid w:val="7E7F0292"/>
    <w:rsid w:val="7F1546D6"/>
    <w:rsid w:val="7F231A2C"/>
    <w:rsid w:val="7F7AA80B"/>
    <w:rsid w:val="7FBA7CAC"/>
    <w:rsid w:val="7FFE26E6"/>
    <w:rsid w:val="7FFF9D9B"/>
    <w:rsid w:val="B93530AC"/>
    <w:rsid w:val="EEFF63F4"/>
    <w:rsid w:val="F973608F"/>
    <w:rsid w:val="FDF7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4">
    <w:name w:val="heading 1"/>
    <w:basedOn w:val="1"/>
    <w:next w:val="1"/>
    <w:qFormat/>
    <w:uiPriority w:val="0"/>
    <w:pPr>
      <w:keepNext/>
      <w:snapToGrid w:val="0"/>
      <w:spacing w:line="360" w:lineRule="atLeast"/>
      <w:outlineLvl w:val="0"/>
    </w:pPr>
    <w:rPr>
      <w:rFonts w:ascii="宋体"/>
    </w:rPr>
  </w:style>
  <w:style w:type="paragraph" w:styleId="5">
    <w:name w:val="heading 2"/>
    <w:basedOn w:val="1"/>
    <w:next w:val="1"/>
    <w:link w:val="70"/>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link w:val="71"/>
    <w:qFormat/>
    <w:uiPriority w:val="0"/>
    <w:pPr>
      <w:keepNext/>
      <w:keepLines/>
      <w:spacing w:before="260" w:after="260" w:line="413" w:lineRule="auto"/>
      <w:outlineLvl w:val="2"/>
    </w:pPr>
    <w:rPr>
      <w:b/>
      <w:sz w:val="32"/>
    </w:rPr>
  </w:style>
  <w:style w:type="paragraph" w:styleId="7">
    <w:name w:val="heading 4"/>
    <w:basedOn w:val="1"/>
    <w:next w:val="1"/>
    <w:qFormat/>
    <w:uiPriority w:val="0"/>
    <w:pPr>
      <w:keepNext/>
      <w:keepLines/>
      <w:spacing w:before="280" w:after="290" w:line="372" w:lineRule="auto"/>
      <w:outlineLvl w:val="3"/>
    </w:pPr>
    <w:rPr>
      <w:rFonts w:ascii="Arial" w:hAnsi="Arial" w:eastAsia="黑体"/>
      <w:b/>
    </w:rPr>
  </w:style>
  <w:style w:type="paragraph" w:styleId="8">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9">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10">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11">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2">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1">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78"/>
    <w:qFormat/>
    <w:uiPriority w:val="0"/>
    <w:pPr>
      <w:spacing w:after="120" w:line="240" w:lineRule="auto"/>
      <w:ind w:left="420" w:leftChars="200" w:firstLine="420" w:firstLineChars="200"/>
    </w:pPr>
  </w:style>
  <w:style w:type="paragraph" w:styleId="3">
    <w:name w:val="Body Text Indent"/>
    <w:basedOn w:val="1"/>
    <w:next w:val="1"/>
    <w:link w:val="73"/>
    <w:qFormat/>
    <w:uiPriority w:val="0"/>
    <w:pPr>
      <w:spacing w:line="700" w:lineRule="exact"/>
      <w:ind w:left="960"/>
    </w:pPr>
    <w:rPr>
      <w:sz w:val="44"/>
    </w:rPr>
  </w:style>
  <w:style w:type="paragraph" w:styleId="13">
    <w:name w:val="List 3"/>
    <w:basedOn w:val="1"/>
    <w:qFormat/>
    <w:uiPriority w:val="0"/>
    <w:pPr>
      <w:adjustRightInd w:val="0"/>
      <w:snapToGrid w:val="0"/>
      <w:spacing w:line="360" w:lineRule="auto"/>
      <w:ind w:left="100" w:leftChars="400" w:hanging="200" w:hangingChars="200"/>
    </w:pPr>
    <w:rPr>
      <w:sz w:val="24"/>
    </w:rPr>
  </w:style>
  <w:style w:type="paragraph" w:styleId="14">
    <w:name w:val="toc 7"/>
    <w:basedOn w:val="1"/>
    <w:next w:val="1"/>
    <w:qFormat/>
    <w:uiPriority w:val="0"/>
    <w:pPr>
      <w:ind w:left="2520" w:leftChars="1200"/>
    </w:pPr>
  </w:style>
  <w:style w:type="paragraph" w:styleId="15">
    <w:name w:val="List Number 2"/>
    <w:basedOn w:val="1"/>
    <w:qFormat/>
    <w:uiPriority w:val="0"/>
    <w:pPr>
      <w:tabs>
        <w:tab w:val="left" w:pos="780"/>
      </w:tabs>
      <w:spacing w:line="360" w:lineRule="auto"/>
      <w:ind w:left="425" w:hanging="425"/>
    </w:pPr>
    <w:rPr>
      <w:sz w:val="24"/>
    </w:rPr>
  </w:style>
  <w:style w:type="paragraph" w:styleId="16">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7">
    <w:name w:val="Normal Indent"/>
    <w:basedOn w:val="1"/>
    <w:qFormat/>
    <w:uiPriority w:val="0"/>
    <w:pPr>
      <w:adjustRightInd w:val="0"/>
      <w:snapToGrid w:val="0"/>
      <w:spacing w:line="360" w:lineRule="auto"/>
      <w:ind w:firstLine="420"/>
    </w:pPr>
    <w:rPr>
      <w:sz w:val="24"/>
    </w:rPr>
  </w:style>
  <w:style w:type="paragraph" w:styleId="18">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9">
    <w:name w:val="Document Map"/>
    <w:basedOn w:val="1"/>
    <w:qFormat/>
    <w:uiPriority w:val="0"/>
    <w:pPr>
      <w:shd w:val="clear" w:color="auto" w:fill="000080"/>
    </w:pPr>
  </w:style>
  <w:style w:type="paragraph" w:styleId="20">
    <w:name w:val="toa heading"/>
    <w:basedOn w:val="1"/>
    <w:next w:val="1"/>
    <w:qFormat/>
    <w:uiPriority w:val="0"/>
    <w:pPr>
      <w:spacing w:before="120"/>
    </w:pPr>
    <w:rPr>
      <w:rFonts w:ascii="Arial" w:hAnsi="Arial"/>
      <w:sz w:val="24"/>
    </w:rPr>
  </w:style>
  <w:style w:type="paragraph" w:styleId="21">
    <w:name w:val="annotation text"/>
    <w:basedOn w:val="1"/>
    <w:link w:val="72"/>
    <w:qFormat/>
    <w:uiPriority w:val="0"/>
    <w:pPr>
      <w:adjustRightInd w:val="0"/>
      <w:spacing w:line="360" w:lineRule="atLeast"/>
      <w:jc w:val="left"/>
      <w:textAlignment w:val="baseline"/>
    </w:pPr>
    <w:rPr>
      <w:kern w:val="0"/>
      <w:sz w:val="24"/>
    </w:rPr>
  </w:style>
  <w:style w:type="paragraph" w:styleId="22">
    <w:name w:val="Body Text 3"/>
    <w:basedOn w:val="1"/>
    <w:qFormat/>
    <w:uiPriority w:val="0"/>
    <w:pPr>
      <w:adjustRightInd w:val="0"/>
      <w:snapToGrid w:val="0"/>
      <w:spacing w:after="120" w:line="360" w:lineRule="auto"/>
    </w:pPr>
    <w:rPr>
      <w:sz w:val="16"/>
    </w:rPr>
  </w:style>
  <w:style w:type="paragraph" w:styleId="23">
    <w:name w:val="List Bullet 3"/>
    <w:basedOn w:val="1"/>
    <w:qFormat/>
    <w:uiPriority w:val="0"/>
    <w:pPr>
      <w:tabs>
        <w:tab w:val="left" w:pos="1200"/>
      </w:tabs>
      <w:adjustRightInd w:val="0"/>
      <w:snapToGrid w:val="0"/>
      <w:spacing w:line="360" w:lineRule="auto"/>
      <w:ind w:left="1200" w:hanging="360"/>
    </w:pPr>
    <w:rPr>
      <w:sz w:val="24"/>
    </w:rPr>
  </w:style>
  <w:style w:type="paragraph" w:styleId="24">
    <w:name w:val="Body Text"/>
    <w:basedOn w:val="1"/>
    <w:next w:val="25"/>
    <w:qFormat/>
    <w:uiPriority w:val="0"/>
    <w:rPr>
      <w:rFonts w:ascii="仿宋_GB2312" w:eastAsia="仿宋_GB2312"/>
      <w:sz w:val="32"/>
    </w:rPr>
  </w:style>
  <w:style w:type="paragraph" w:styleId="25">
    <w:name w:val="Body Text 2"/>
    <w:basedOn w:val="1"/>
    <w:qFormat/>
    <w:uiPriority w:val="0"/>
    <w:pPr>
      <w:adjustRightInd w:val="0"/>
      <w:snapToGrid w:val="0"/>
      <w:spacing w:after="120" w:line="480" w:lineRule="auto"/>
    </w:pPr>
    <w:rPr>
      <w:sz w:val="24"/>
    </w:rPr>
  </w:style>
  <w:style w:type="paragraph" w:styleId="26">
    <w:name w:val="List Number 3"/>
    <w:basedOn w:val="1"/>
    <w:qFormat/>
    <w:uiPriority w:val="0"/>
    <w:pPr>
      <w:tabs>
        <w:tab w:val="left" w:pos="2120"/>
      </w:tabs>
      <w:adjustRightInd w:val="0"/>
      <w:snapToGrid w:val="0"/>
      <w:spacing w:line="360" w:lineRule="auto"/>
      <w:ind w:left="2120" w:hanging="720"/>
    </w:pPr>
    <w:rPr>
      <w:sz w:val="24"/>
    </w:rPr>
  </w:style>
  <w:style w:type="paragraph" w:styleId="27">
    <w:name w:val="List 2"/>
    <w:basedOn w:val="1"/>
    <w:qFormat/>
    <w:uiPriority w:val="0"/>
    <w:pPr>
      <w:adjustRightInd w:val="0"/>
      <w:snapToGrid w:val="0"/>
      <w:spacing w:line="360" w:lineRule="auto"/>
      <w:ind w:left="100" w:leftChars="200" w:hanging="200" w:hangingChars="200"/>
    </w:pPr>
    <w:rPr>
      <w:sz w:val="24"/>
    </w:rPr>
  </w:style>
  <w:style w:type="paragraph" w:styleId="28">
    <w:name w:val="List Continue"/>
    <w:basedOn w:val="1"/>
    <w:qFormat/>
    <w:uiPriority w:val="0"/>
    <w:pPr>
      <w:adjustRightInd w:val="0"/>
      <w:snapToGrid w:val="0"/>
      <w:spacing w:after="120" w:line="360" w:lineRule="auto"/>
      <w:ind w:left="420" w:leftChars="200"/>
    </w:pPr>
    <w:rPr>
      <w:sz w:val="24"/>
    </w:rPr>
  </w:style>
  <w:style w:type="paragraph" w:styleId="29">
    <w:name w:val="Block Text"/>
    <w:qFormat/>
    <w:uiPriority w:val="0"/>
    <w:pPr>
      <w:widowControl w:val="0"/>
      <w:autoSpaceDE w:val="0"/>
      <w:autoSpaceDN w:val="0"/>
      <w:adjustRightInd w:val="0"/>
      <w:spacing w:line="500" w:lineRule="exact"/>
      <w:ind w:left="391" w:right="246"/>
      <w:jc w:val="both"/>
    </w:pPr>
    <w:rPr>
      <w:rFonts w:ascii="仿宋_GB2312" w:hAnsi="Times New Roman" w:eastAsia="仿宋_GB2312" w:cs="Times New Roman"/>
      <w:sz w:val="24"/>
      <w:szCs w:val="22"/>
      <w:lang w:val="en-US" w:eastAsia="zh-CN" w:bidi="ar-SA"/>
    </w:rPr>
  </w:style>
  <w:style w:type="paragraph" w:styleId="30">
    <w:name w:val="List Bullet 2"/>
    <w:basedOn w:val="1"/>
    <w:qFormat/>
    <w:uiPriority w:val="0"/>
    <w:pPr>
      <w:tabs>
        <w:tab w:val="left" w:pos="780"/>
      </w:tabs>
      <w:adjustRightInd w:val="0"/>
      <w:snapToGrid w:val="0"/>
      <w:spacing w:line="360" w:lineRule="auto"/>
      <w:ind w:left="780" w:hanging="360"/>
    </w:pPr>
    <w:rPr>
      <w:sz w:val="24"/>
    </w:rPr>
  </w:style>
  <w:style w:type="paragraph" w:styleId="31">
    <w:name w:val="toc 5"/>
    <w:basedOn w:val="1"/>
    <w:next w:val="1"/>
    <w:qFormat/>
    <w:uiPriority w:val="0"/>
    <w:pPr>
      <w:ind w:left="1680" w:leftChars="800"/>
    </w:pPr>
  </w:style>
  <w:style w:type="paragraph" w:styleId="32">
    <w:name w:val="toc 3"/>
    <w:basedOn w:val="1"/>
    <w:next w:val="1"/>
    <w:qFormat/>
    <w:uiPriority w:val="39"/>
    <w:pPr>
      <w:ind w:left="840" w:leftChars="400"/>
    </w:pPr>
  </w:style>
  <w:style w:type="paragraph" w:styleId="33">
    <w:name w:val="Plain Text"/>
    <w:basedOn w:val="1"/>
    <w:qFormat/>
    <w:uiPriority w:val="0"/>
    <w:rPr>
      <w:rFonts w:ascii="宋体" w:hAnsi="Courier New"/>
      <w:sz w:val="21"/>
    </w:rPr>
  </w:style>
  <w:style w:type="paragraph" w:styleId="34">
    <w:name w:val="toc 8"/>
    <w:basedOn w:val="1"/>
    <w:next w:val="1"/>
    <w:qFormat/>
    <w:uiPriority w:val="0"/>
    <w:pPr>
      <w:ind w:left="2940" w:leftChars="1400"/>
    </w:pPr>
  </w:style>
  <w:style w:type="paragraph" w:styleId="35">
    <w:name w:val="Date"/>
    <w:basedOn w:val="1"/>
    <w:next w:val="1"/>
    <w:link w:val="74"/>
    <w:qFormat/>
    <w:uiPriority w:val="0"/>
  </w:style>
  <w:style w:type="paragraph" w:styleId="36">
    <w:name w:val="Body Text Indent 2"/>
    <w:basedOn w:val="1"/>
    <w:link w:val="75"/>
    <w:qFormat/>
    <w:uiPriority w:val="0"/>
    <w:pPr>
      <w:snapToGrid w:val="0"/>
      <w:spacing w:line="560" w:lineRule="atLeast"/>
      <w:ind w:firstLine="540"/>
    </w:pPr>
  </w:style>
  <w:style w:type="paragraph" w:styleId="37">
    <w:name w:val="Balloon Text"/>
    <w:basedOn w:val="1"/>
    <w:qFormat/>
    <w:uiPriority w:val="0"/>
    <w:rPr>
      <w:sz w:val="18"/>
    </w:rPr>
  </w:style>
  <w:style w:type="paragraph" w:styleId="38">
    <w:name w:val="footer"/>
    <w:basedOn w:val="1"/>
    <w:qFormat/>
    <w:uiPriority w:val="0"/>
    <w:pPr>
      <w:tabs>
        <w:tab w:val="center" w:pos="4153"/>
        <w:tab w:val="right" w:pos="8306"/>
      </w:tabs>
      <w:snapToGrid w:val="0"/>
      <w:jc w:val="left"/>
    </w:pPr>
    <w:rPr>
      <w:sz w:val="18"/>
    </w:rPr>
  </w:style>
  <w:style w:type="paragraph" w:styleId="39">
    <w:name w:val="header"/>
    <w:basedOn w:val="1"/>
    <w:next w:val="29"/>
    <w:qFormat/>
    <w:uiPriority w:val="0"/>
    <w:pPr>
      <w:pBdr>
        <w:bottom w:val="single" w:color="auto" w:sz="6" w:space="1"/>
      </w:pBdr>
      <w:tabs>
        <w:tab w:val="center" w:pos="4153"/>
        <w:tab w:val="right" w:pos="8306"/>
      </w:tabs>
      <w:snapToGrid w:val="0"/>
      <w:jc w:val="center"/>
    </w:pPr>
    <w:rPr>
      <w:sz w:val="18"/>
    </w:rPr>
  </w:style>
  <w:style w:type="paragraph" w:styleId="40">
    <w:name w:val="toc 1"/>
    <w:basedOn w:val="1"/>
    <w:next w:val="1"/>
    <w:qFormat/>
    <w:uiPriority w:val="0"/>
    <w:pPr>
      <w:spacing w:line="180" w:lineRule="auto"/>
      <w:jc w:val="center"/>
    </w:pPr>
    <w:rPr>
      <w:sz w:val="30"/>
    </w:rPr>
  </w:style>
  <w:style w:type="paragraph" w:styleId="41">
    <w:name w:val="List Continue 4"/>
    <w:basedOn w:val="1"/>
    <w:qFormat/>
    <w:uiPriority w:val="0"/>
    <w:pPr>
      <w:adjustRightInd w:val="0"/>
      <w:snapToGrid w:val="0"/>
      <w:spacing w:after="120" w:line="360" w:lineRule="auto"/>
      <w:ind w:left="1680" w:leftChars="800"/>
    </w:pPr>
    <w:rPr>
      <w:sz w:val="24"/>
    </w:rPr>
  </w:style>
  <w:style w:type="paragraph" w:styleId="42">
    <w:name w:val="toc 4"/>
    <w:basedOn w:val="1"/>
    <w:next w:val="1"/>
    <w:qFormat/>
    <w:uiPriority w:val="0"/>
    <w:pPr>
      <w:ind w:left="1260" w:leftChars="600"/>
    </w:pPr>
  </w:style>
  <w:style w:type="paragraph" w:styleId="43">
    <w:name w:val="footnote text"/>
    <w:basedOn w:val="1"/>
    <w:link w:val="76"/>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qFormat/>
    <w:uiPriority w:val="0"/>
    <w:pPr>
      <w:spacing w:line="360" w:lineRule="auto"/>
      <w:ind w:firstLine="632"/>
    </w:pPr>
    <w:rPr>
      <w:rFonts w:ascii="黑体" w:eastAsia="黑体"/>
    </w:rPr>
  </w:style>
  <w:style w:type="paragraph" w:styleId="47">
    <w:name w:val="index 7"/>
    <w:basedOn w:val="1"/>
    <w:next w:val="1"/>
    <w:qFormat/>
    <w:uiPriority w:val="0"/>
    <w:pPr>
      <w:ind w:left="2520"/>
    </w:pPr>
  </w:style>
  <w:style w:type="paragraph" w:styleId="48">
    <w:name w:val="table of figures"/>
    <w:basedOn w:val="1"/>
    <w:next w:val="1"/>
    <w:qFormat/>
    <w:uiPriority w:val="0"/>
    <w:pPr>
      <w:tabs>
        <w:tab w:val="right" w:leader="dot" w:pos="8640"/>
      </w:tabs>
      <w:spacing w:line="360" w:lineRule="auto"/>
      <w:ind w:left="400" w:hanging="400"/>
    </w:pPr>
    <w:rPr>
      <w:sz w:val="24"/>
    </w:rPr>
  </w:style>
  <w:style w:type="paragraph" w:styleId="49">
    <w:name w:val="toc 2"/>
    <w:basedOn w:val="1"/>
    <w:next w:val="1"/>
    <w:qFormat/>
    <w:uiPriority w:val="39"/>
    <w:pPr>
      <w:ind w:left="420" w:leftChars="200"/>
    </w:pPr>
  </w:style>
  <w:style w:type="paragraph" w:styleId="50">
    <w:name w:val="toc 9"/>
    <w:basedOn w:val="1"/>
    <w:next w:val="1"/>
    <w:qFormat/>
    <w:uiPriority w:val="0"/>
    <w:pPr>
      <w:ind w:left="3360" w:leftChars="1600"/>
    </w:p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Normal (Web)"/>
    <w:basedOn w:val="1"/>
    <w:qFormat/>
    <w:uiPriority w:val="99"/>
    <w:pPr>
      <w:widowControl/>
      <w:spacing w:before="100" w:beforeAutospacing="1" w:after="100" w:afterAutospacing="1"/>
      <w:jc w:val="left"/>
    </w:pPr>
    <w:rPr>
      <w:rFonts w:ascii="宋体" w:hAnsi="宋体"/>
      <w:kern w:val="0"/>
      <w:sz w:val="24"/>
    </w:rPr>
  </w:style>
  <w:style w:type="paragraph" w:styleId="54">
    <w:name w:val="List Continue 3"/>
    <w:basedOn w:val="1"/>
    <w:qFormat/>
    <w:uiPriority w:val="0"/>
    <w:pPr>
      <w:adjustRightInd w:val="0"/>
      <w:snapToGrid w:val="0"/>
      <w:spacing w:after="12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qFormat/>
    <w:uiPriority w:val="0"/>
    <w:pPr>
      <w:widowControl/>
      <w:spacing w:after="240" w:line="360" w:lineRule="auto"/>
      <w:jc w:val="center"/>
    </w:pPr>
    <w:rPr>
      <w:rFonts w:ascii="Arial" w:hAnsi="Arial"/>
      <w:b/>
      <w:smallCaps/>
      <w:kern w:val="28"/>
      <w:sz w:val="36"/>
      <w:lang w:eastAsia="en-US"/>
    </w:rPr>
  </w:style>
  <w:style w:type="paragraph" w:styleId="57">
    <w:name w:val="annotation subject"/>
    <w:basedOn w:val="21"/>
    <w:next w:val="21"/>
    <w:link w:val="77"/>
    <w:qFormat/>
    <w:uiPriority w:val="0"/>
    <w:pPr>
      <w:adjustRightInd/>
      <w:spacing w:line="240" w:lineRule="auto"/>
      <w:textAlignment w:val="auto"/>
    </w:pPr>
  </w:style>
  <w:style w:type="paragraph" w:styleId="58">
    <w:name w:val="Body Text First Indent"/>
    <w:basedOn w:val="24"/>
    <w:next w:val="1"/>
    <w:qFormat/>
    <w:uiPriority w:val="0"/>
    <w:pPr>
      <w:spacing w:line="360" w:lineRule="auto"/>
      <w:ind w:firstLine="420"/>
    </w:pPr>
    <w:rPr>
      <w:rFonts w:ascii="宋体" w:hAnsi="宋体"/>
      <w:sz w:val="24"/>
    </w:rPr>
  </w:style>
  <w:style w:type="table" w:styleId="60">
    <w:name w:val="Table Grid"/>
    <w:basedOn w:val="5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qFormat/>
    <w:uiPriority w:val="22"/>
    <w:rPr>
      <w:b/>
    </w:rPr>
  </w:style>
  <w:style w:type="character" w:styleId="63">
    <w:name w:val="page number"/>
    <w:qFormat/>
    <w:uiPriority w:val="0"/>
  </w:style>
  <w:style w:type="character" w:styleId="64">
    <w:name w:val="FollowedHyperlink"/>
    <w:qFormat/>
    <w:uiPriority w:val="0"/>
    <w:rPr>
      <w:color w:val="333333"/>
      <w:u w:val="none"/>
    </w:rPr>
  </w:style>
  <w:style w:type="character" w:styleId="65">
    <w:name w:val="Emphasis"/>
    <w:qFormat/>
    <w:uiPriority w:val="0"/>
    <w:rPr>
      <w:i/>
    </w:rPr>
  </w:style>
  <w:style w:type="character" w:styleId="66">
    <w:name w:val="Hyperlink"/>
    <w:qFormat/>
    <w:uiPriority w:val="99"/>
    <w:rPr>
      <w:color w:val="0000FF"/>
      <w:u w:val="single"/>
    </w:rPr>
  </w:style>
  <w:style w:type="character" w:styleId="67">
    <w:name w:val="annotation reference"/>
    <w:qFormat/>
    <w:uiPriority w:val="0"/>
    <w:rPr>
      <w:sz w:val="21"/>
      <w:szCs w:val="21"/>
    </w:rPr>
  </w:style>
  <w:style w:type="character" w:styleId="68">
    <w:name w:val="footnote reference"/>
    <w:qFormat/>
    <w:uiPriority w:val="0"/>
    <w:rPr>
      <w:position w:val="6"/>
      <w:sz w:val="14"/>
      <w:vertAlign w:val="superscript"/>
    </w:rPr>
  </w:style>
  <w:style w:type="paragraph" w:customStyle="1" w:styleId="69">
    <w:name w:val="索引 51"/>
    <w:basedOn w:val="1"/>
    <w:next w:val="1"/>
    <w:qFormat/>
    <w:uiPriority w:val="0"/>
    <w:pPr>
      <w:ind w:left="1680"/>
    </w:pPr>
  </w:style>
  <w:style w:type="character" w:customStyle="1" w:styleId="70">
    <w:name w:val="标题 2 字符"/>
    <w:link w:val="5"/>
    <w:qFormat/>
    <w:uiPriority w:val="0"/>
    <w:rPr>
      <w:rFonts w:ascii="Arial" w:hAnsi="Arial" w:eastAsia="黑体"/>
      <w:b/>
      <w:kern w:val="2"/>
      <w:sz w:val="32"/>
    </w:rPr>
  </w:style>
  <w:style w:type="character" w:customStyle="1" w:styleId="71">
    <w:name w:val="标题 3 字符"/>
    <w:link w:val="6"/>
    <w:qFormat/>
    <w:uiPriority w:val="0"/>
    <w:rPr>
      <w:rFonts w:eastAsia="宋体"/>
      <w:b/>
      <w:kern w:val="2"/>
      <w:sz w:val="32"/>
      <w:lang w:val="en-US" w:eastAsia="zh-CN"/>
    </w:rPr>
  </w:style>
  <w:style w:type="character" w:customStyle="1" w:styleId="72">
    <w:name w:val="批注文字 字符"/>
    <w:link w:val="21"/>
    <w:qFormat/>
    <w:uiPriority w:val="0"/>
    <w:rPr>
      <w:sz w:val="24"/>
    </w:rPr>
  </w:style>
  <w:style w:type="character" w:customStyle="1" w:styleId="73">
    <w:name w:val="正文文本缩进 字符"/>
    <w:link w:val="3"/>
    <w:qFormat/>
    <w:uiPriority w:val="0"/>
    <w:rPr>
      <w:kern w:val="2"/>
      <w:sz w:val="44"/>
    </w:rPr>
  </w:style>
  <w:style w:type="character" w:customStyle="1" w:styleId="74">
    <w:name w:val="日期 字符"/>
    <w:link w:val="35"/>
    <w:qFormat/>
    <w:uiPriority w:val="0"/>
    <w:rPr>
      <w:kern w:val="2"/>
      <w:sz w:val="28"/>
    </w:rPr>
  </w:style>
  <w:style w:type="character" w:customStyle="1" w:styleId="75">
    <w:name w:val="正文文本缩进 2 字符"/>
    <w:link w:val="36"/>
    <w:qFormat/>
    <w:uiPriority w:val="0"/>
    <w:rPr>
      <w:kern w:val="2"/>
      <w:sz w:val="28"/>
    </w:rPr>
  </w:style>
  <w:style w:type="character" w:customStyle="1" w:styleId="76">
    <w:name w:val="脚注文本 字符"/>
    <w:link w:val="43"/>
    <w:qFormat/>
    <w:uiPriority w:val="0"/>
    <w:rPr>
      <w:kern w:val="2"/>
      <w:sz w:val="18"/>
    </w:rPr>
  </w:style>
  <w:style w:type="character" w:customStyle="1" w:styleId="77">
    <w:name w:val="批注主题 字符"/>
    <w:link w:val="57"/>
    <w:qFormat/>
    <w:uiPriority w:val="0"/>
  </w:style>
  <w:style w:type="character" w:customStyle="1" w:styleId="78">
    <w:name w:val="正文文本首行缩进 2 字符"/>
    <w:link w:val="2"/>
    <w:qFormat/>
    <w:uiPriority w:val="0"/>
  </w:style>
  <w:style w:type="character" w:customStyle="1" w:styleId="79">
    <w:name w:val="样式 宋体"/>
    <w:qFormat/>
    <w:uiPriority w:val="0"/>
    <w:rPr>
      <w:rFonts w:ascii="宋体" w:hAnsi="宋体" w:eastAsia="宋体"/>
      <w:sz w:val="28"/>
    </w:rPr>
  </w:style>
  <w:style w:type="character" w:customStyle="1" w:styleId="80">
    <w:name w:val="font31"/>
    <w:qFormat/>
    <w:uiPriority w:val="0"/>
    <w:rPr>
      <w:rFonts w:hint="eastAsia" w:ascii="方正仿宋_GBK" w:hAnsi="方正仿宋_GBK" w:eastAsia="方正仿宋_GBK" w:cs="方正仿宋_GBK"/>
      <w:color w:val="000000"/>
      <w:sz w:val="22"/>
      <w:szCs w:val="22"/>
      <w:u w:val="none"/>
    </w:rPr>
  </w:style>
  <w:style w:type="character" w:customStyle="1" w:styleId="81">
    <w:name w:val="NormalCharacter"/>
    <w:qFormat/>
    <w:uiPriority w:val="0"/>
  </w:style>
  <w:style w:type="character" w:customStyle="1" w:styleId="82">
    <w:name w:val="Table Heading Char Char"/>
    <w:qFormat/>
    <w:uiPriority w:val="0"/>
    <w:rPr>
      <w:rFonts w:ascii="Arial" w:hAnsi="Arial" w:eastAsia="黑体"/>
      <w:kern w:val="2"/>
      <w:sz w:val="18"/>
      <w:lang w:val="en-US" w:eastAsia="zh-CN"/>
    </w:rPr>
  </w:style>
  <w:style w:type="character" w:customStyle="1" w:styleId="83">
    <w:name w:val="Char Char6"/>
    <w:qFormat/>
    <w:uiPriority w:val="0"/>
    <w:rPr>
      <w:rFonts w:ascii="仿宋_GB2312" w:eastAsia="仿宋_GB2312"/>
      <w:kern w:val="2"/>
      <w:sz w:val="32"/>
    </w:rPr>
  </w:style>
  <w:style w:type="character" w:customStyle="1" w:styleId="84">
    <w:name w:val="font1"/>
    <w:qFormat/>
    <w:uiPriority w:val="0"/>
    <w:rPr>
      <w:color w:val="000000"/>
      <w:sz w:val="18"/>
    </w:rPr>
  </w:style>
  <w:style w:type="character" w:customStyle="1" w:styleId="85">
    <w:name w:val="Char Char11"/>
    <w:qFormat/>
    <w:uiPriority w:val="0"/>
    <w:rPr>
      <w:rFonts w:ascii="宋体"/>
      <w:kern w:val="2"/>
      <w:sz w:val="28"/>
    </w:rPr>
  </w:style>
  <w:style w:type="character" w:customStyle="1" w:styleId="86">
    <w:name w:val="Char Char3"/>
    <w:qFormat/>
    <w:uiPriority w:val="0"/>
    <w:rPr>
      <w:rFonts w:eastAsia="宋体"/>
      <w:kern w:val="2"/>
      <w:sz w:val="18"/>
      <w:lang w:val="en-US" w:eastAsia="zh-CN"/>
    </w:rPr>
  </w:style>
  <w:style w:type="character" w:customStyle="1" w:styleId="87">
    <w:name w:val="Char Char"/>
    <w:qFormat/>
    <w:uiPriority w:val="0"/>
    <w:rPr>
      <w:rFonts w:ascii="宋体" w:hAnsi="宋体" w:eastAsia="宋体"/>
      <w:kern w:val="2"/>
      <w:sz w:val="24"/>
      <w:lang w:val="en-US" w:eastAsia="zh-CN" w:bidi="ar-SA"/>
    </w:rPr>
  </w:style>
  <w:style w:type="character" w:customStyle="1" w:styleId="88">
    <w:name w:val="Char Char7"/>
    <w:qFormat/>
    <w:uiPriority w:val="0"/>
    <w:rPr>
      <w:rFonts w:ascii="宋体" w:hAnsi="宋体" w:eastAsia="宋体"/>
      <w:kern w:val="2"/>
      <w:sz w:val="28"/>
    </w:rPr>
  </w:style>
  <w:style w:type="character" w:customStyle="1" w:styleId="89">
    <w:name w:val="crowed11"/>
    <w:qFormat/>
    <w:uiPriority w:val="0"/>
    <w:rPr>
      <w:rFonts w:hint="default" w:ascii="_x000B__x000C_" w:hAnsi="_x000B__x000C_"/>
      <w:sz w:val="24"/>
    </w:rPr>
  </w:style>
  <w:style w:type="character" w:customStyle="1" w:styleId="90">
    <w:name w:val="文字 Char"/>
    <w:link w:val="91"/>
    <w:qFormat/>
    <w:uiPriority w:val="0"/>
    <w:rPr>
      <w:rFonts w:ascii="宋体"/>
      <w:kern w:val="2"/>
      <w:sz w:val="28"/>
    </w:rPr>
  </w:style>
  <w:style w:type="paragraph" w:customStyle="1" w:styleId="91">
    <w:name w:val="文字"/>
    <w:basedOn w:val="1"/>
    <w:link w:val="90"/>
    <w:qFormat/>
    <w:uiPriority w:val="0"/>
    <w:pPr>
      <w:tabs>
        <w:tab w:val="left" w:pos="8520"/>
      </w:tabs>
      <w:spacing w:line="312" w:lineRule="auto"/>
      <w:ind w:right="-210" w:firstLine="556"/>
    </w:pPr>
    <w:rPr>
      <w:rFonts w:ascii="宋体"/>
    </w:rPr>
  </w:style>
  <w:style w:type="character" w:customStyle="1" w:styleId="92">
    <w:name w:val="批注文字 Char1"/>
    <w:qFormat/>
    <w:uiPriority w:val="0"/>
    <w:rPr>
      <w:rFonts w:eastAsia="PMingLiU"/>
      <w:sz w:val="24"/>
      <w:lang w:eastAsia="zh-TW"/>
    </w:rPr>
  </w:style>
  <w:style w:type="character" w:customStyle="1" w:styleId="93">
    <w:name w:val="font112"/>
    <w:qFormat/>
    <w:uiPriority w:val="0"/>
    <w:rPr>
      <w:rFonts w:hint="default" w:ascii="Times New Roman" w:hAnsi="Times New Roman" w:cs="Times New Roman"/>
      <w:color w:val="000000"/>
      <w:sz w:val="18"/>
      <w:szCs w:val="18"/>
      <w:u w:val="none"/>
    </w:rPr>
  </w:style>
  <w:style w:type="character" w:customStyle="1" w:styleId="94">
    <w:name w:val="font121"/>
    <w:qFormat/>
    <w:uiPriority w:val="0"/>
    <w:rPr>
      <w:rFonts w:hint="eastAsia" w:ascii="方正仿宋_GBK" w:hAnsi="方正仿宋_GBK" w:eastAsia="方正仿宋_GBK" w:cs="方正仿宋_GBK"/>
      <w:color w:val="000000"/>
      <w:sz w:val="18"/>
      <w:szCs w:val="18"/>
      <w:u w:val="none"/>
    </w:rPr>
  </w:style>
  <w:style w:type="character" w:customStyle="1" w:styleId="95">
    <w:name w:val="Char Char5"/>
    <w:qFormat/>
    <w:uiPriority w:val="0"/>
    <w:rPr>
      <w:rFonts w:ascii="Arial" w:hAnsi="Arial" w:eastAsia="宋体"/>
      <w:b/>
      <w:smallCaps/>
      <w:kern w:val="28"/>
      <w:sz w:val="36"/>
      <w:lang w:val="en-US" w:eastAsia="en-US"/>
    </w:rPr>
  </w:style>
  <w:style w:type="character" w:customStyle="1" w:styleId="96">
    <w:name w:val="font131"/>
    <w:qFormat/>
    <w:uiPriority w:val="0"/>
    <w:rPr>
      <w:rFonts w:hint="eastAsia" w:ascii="方正仿宋_GBK" w:hAnsi="方正仿宋_GBK" w:eastAsia="方正仿宋_GBK" w:cs="方正仿宋_GBK"/>
      <w:color w:val="000000"/>
      <w:sz w:val="18"/>
      <w:szCs w:val="18"/>
      <w:u w:val="none"/>
    </w:rPr>
  </w:style>
  <w:style w:type="character" w:customStyle="1" w:styleId="97">
    <w:name w:val="font81"/>
    <w:qFormat/>
    <w:uiPriority w:val="0"/>
    <w:rPr>
      <w:rFonts w:hint="default" w:ascii="Times New Roman" w:hAnsi="Times New Roman" w:cs="Times New Roman"/>
      <w:color w:val="000000"/>
      <w:sz w:val="18"/>
      <w:szCs w:val="18"/>
      <w:u w:val="none"/>
    </w:rPr>
  </w:style>
  <w:style w:type="character" w:customStyle="1" w:styleId="98">
    <w:name w:val="Char Char4"/>
    <w:qFormat/>
    <w:uiPriority w:val="0"/>
    <w:rPr>
      <w:rFonts w:eastAsia="宋体"/>
      <w:b/>
      <w:kern w:val="2"/>
      <w:sz w:val="21"/>
      <w:lang w:val="en-US" w:eastAsia="zh-CN"/>
    </w:rPr>
  </w:style>
  <w:style w:type="character" w:customStyle="1" w:styleId="99">
    <w:name w:val="正文 + 三号 Char"/>
    <w:qFormat/>
    <w:uiPriority w:val="0"/>
    <w:rPr>
      <w:rFonts w:eastAsia="宋体"/>
      <w:kern w:val="2"/>
      <w:sz w:val="21"/>
      <w:lang w:val="en-US" w:eastAsia="zh-CN"/>
    </w:rPr>
  </w:style>
  <w:style w:type="character" w:customStyle="1" w:styleId="100">
    <w:name w:val="标书正文:  0.74 厘米 Char1"/>
    <w:qFormat/>
    <w:uiPriority w:val="0"/>
    <w:rPr>
      <w:rFonts w:eastAsia="宋体"/>
      <w:kern w:val="2"/>
      <w:sz w:val="24"/>
      <w:lang w:val="en-US" w:eastAsia="zh-CN"/>
    </w:rPr>
  </w:style>
  <w:style w:type="character" w:customStyle="1" w:styleId="101">
    <w:name w:val="Table Text Char Char Char Char"/>
    <w:link w:val="102"/>
    <w:qFormat/>
    <w:uiPriority w:val="0"/>
    <w:rPr>
      <w:rFonts w:ascii="Arial" w:hAnsi="Arial"/>
      <w:kern w:val="2"/>
      <w:sz w:val="18"/>
      <w:lang w:val="en-US" w:eastAsia="zh-CN" w:bidi="ar-SA"/>
    </w:rPr>
  </w:style>
  <w:style w:type="paragraph" w:customStyle="1" w:styleId="102">
    <w:name w:val="Table Text Char Char Char"/>
    <w:link w:val="101"/>
    <w:qFormat/>
    <w:uiPriority w:val="0"/>
    <w:pPr>
      <w:snapToGrid w:val="0"/>
      <w:spacing w:before="80" w:after="80"/>
    </w:pPr>
    <w:rPr>
      <w:rFonts w:ascii="Arial" w:hAnsi="Arial" w:eastAsia="宋体" w:cs="Times New Roman"/>
      <w:kern w:val="2"/>
      <w:sz w:val="18"/>
      <w:lang w:val="en-US" w:eastAsia="zh-CN" w:bidi="ar-SA"/>
    </w:rPr>
  </w:style>
  <w:style w:type="character" w:customStyle="1" w:styleId="103">
    <w:name w:val="content-white1"/>
    <w:qFormat/>
    <w:uiPriority w:val="0"/>
    <w:rPr>
      <w:rFonts w:ascii="_x000B__x000C_" w:hAnsi="_x000B__x000C_"/>
      <w:color w:val="auto"/>
      <w:sz w:val="18"/>
      <w:u w:val="none"/>
    </w:rPr>
  </w:style>
  <w:style w:type="character" w:customStyle="1" w:styleId="104">
    <w:name w:val="未命名11"/>
    <w:qFormat/>
    <w:uiPriority w:val="0"/>
    <w:rPr>
      <w:color w:val="77FFFF"/>
      <w:sz w:val="24"/>
    </w:rPr>
  </w:style>
  <w:style w:type="character" w:customStyle="1" w:styleId="105">
    <w:name w:val="Table Text Char"/>
    <w:link w:val="106"/>
    <w:qFormat/>
    <w:uiPriority w:val="0"/>
    <w:rPr>
      <w:rFonts w:ascii="Arial" w:hAnsi="Arial"/>
      <w:kern w:val="2"/>
      <w:sz w:val="18"/>
      <w:lang w:val="en-US" w:eastAsia="zh-CN" w:bidi="ar-SA"/>
    </w:rPr>
  </w:style>
  <w:style w:type="paragraph" w:customStyle="1" w:styleId="106">
    <w:name w:val="Table Text"/>
    <w:link w:val="105"/>
    <w:qFormat/>
    <w:uiPriority w:val="0"/>
    <w:pPr>
      <w:snapToGrid w:val="0"/>
      <w:spacing w:before="80" w:after="80"/>
    </w:pPr>
    <w:rPr>
      <w:rFonts w:ascii="Arial" w:hAnsi="Arial" w:eastAsia="宋体" w:cs="Times New Roman"/>
      <w:kern w:val="2"/>
      <w:sz w:val="18"/>
      <w:lang w:val="en-US" w:eastAsia="zh-CN" w:bidi="ar-SA"/>
    </w:rPr>
  </w:style>
  <w:style w:type="character" w:customStyle="1" w:styleId="107">
    <w:name w:val="v151"/>
    <w:qFormat/>
    <w:uiPriority w:val="0"/>
    <w:rPr>
      <w:sz w:val="18"/>
    </w:rPr>
  </w:style>
  <w:style w:type="character" w:customStyle="1" w:styleId="108">
    <w:name w:val="小 Char"/>
    <w:qFormat/>
    <w:uiPriority w:val="0"/>
    <w:rPr>
      <w:rFonts w:ascii="宋体" w:hAnsi="Courier New" w:eastAsia="宋体"/>
      <w:kern w:val="2"/>
      <w:sz w:val="21"/>
      <w:lang w:val="en-US" w:eastAsia="zh-CN" w:bidi="ar-SA"/>
    </w:rPr>
  </w:style>
  <w:style w:type="character" w:customStyle="1" w:styleId="109">
    <w:name w:val="title_emph1"/>
    <w:qFormat/>
    <w:uiPriority w:val="0"/>
    <w:rPr>
      <w:rFonts w:hint="default" w:ascii="Arial" w:hAnsi="Arial"/>
      <w:b/>
      <w:sz w:val="20"/>
    </w:rPr>
  </w:style>
  <w:style w:type="character" w:customStyle="1" w:styleId="110">
    <w:name w:val="font91"/>
    <w:qFormat/>
    <w:uiPriority w:val="0"/>
    <w:rPr>
      <w:rFonts w:hint="eastAsia" w:ascii="方正仿宋_GBK" w:hAnsi="方正仿宋_GBK" w:eastAsia="方正仿宋_GBK" w:cs="方正仿宋_GBK"/>
      <w:color w:val="000000"/>
      <w:sz w:val="18"/>
      <w:szCs w:val="18"/>
      <w:u w:val="none"/>
    </w:rPr>
  </w:style>
  <w:style w:type="character" w:customStyle="1" w:styleId="111">
    <w:name w:val="H2 Char"/>
    <w:qFormat/>
    <w:uiPriority w:val="0"/>
    <w:rPr>
      <w:rFonts w:ascii="Arial" w:hAnsi="Arial" w:eastAsia="宋体"/>
      <w:kern w:val="2"/>
      <w:sz w:val="28"/>
      <w:lang w:val="en-US" w:eastAsia="zh-CN"/>
    </w:rPr>
  </w:style>
  <w:style w:type="character" w:customStyle="1" w:styleId="112">
    <w:name w:val="top-det1"/>
    <w:qFormat/>
    <w:uiPriority w:val="0"/>
    <w:rPr>
      <w:b/>
      <w:color w:val="000000"/>
    </w:rPr>
  </w:style>
  <w:style w:type="character" w:customStyle="1" w:styleId="113">
    <w:name w:val="Table Text Char1 Char"/>
    <w:qFormat/>
    <w:uiPriority w:val="0"/>
    <w:rPr>
      <w:rFonts w:ascii="Arial" w:hAnsi="Arial"/>
      <w:kern w:val="2"/>
      <w:sz w:val="18"/>
      <w:lang w:val="en-US" w:eastAsia="zh-CN" w:bidi="ar-SA"/>
    </w:rPr>
  </w:style>
  <w:style w:type="character" w:customStyle="1" w:styleId="114">
    <w:name w:val="font101"/>
    <w:qFormat/>
    <w:uiPriority w:val="0"/>
    <w:rPr>
      <w:rFonts w:ascii="方正仿宋_GBK" w:hAnsi="方正仿宋_GBK" w:eastAsia="方正仿宋_GBK" w:cs="方正仿宋_GBK"/>
      <w:color w:val="000000"/>
      <w:sz w:val="18"/>
      <w:szCs w:val="18"/>
      <w:u w:val="none"/>
    </w:rPr>
  </w:style>
  <w:style w:type="character" w:customStyle="1" w:styleId="115">
    <w:name w:val="Char Char2"/>
    <w:qFormat/>
    <w:uiPriority w:val="0"/>
    <w:rPr>
      <w:rFonts w:eastAsia="宋体"/>
      <w:kern w:val="2"/>
      <w:sz w:val="18"/>
      <w:lang w:val="en-US" w:eastAsia="zh-CN"/>
    </w:rPr>
  </w:style>
  <w:style w:type="paragraph" w:customStyle="1" w:styleId="11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17">
    <w:name w:val="Char Char Char Char Char Char Char"/>
    <w:basedOn w:val="19"/>
    <w:qFormat/>
    <w:uiPriority w:val="0"/>
    <w:rPr>
      <w:rFonts w:ascii="宋体" w:hAnsi="Tahoma"/>
    </w:rPr>
  </w:style>
  <w:style w:type="paragraph" w:customStyle="1" w:styleId="118">
    <w:name w:val="表文字"/>
    <w:qFormat/>
    <w:uiPriority w:val="0"/>
    <w:rPr>
      <w:rFonts w:ascii="宋体" w:hAnsi="Times New Roman" w:eastAsia="宋体" w:cs="Times New Roman"/>
      <w:kern w:val="2"/>
      <w:lang w:val="en-US" w:eastAsia="zh-CN" w:bidi="ar-SA"/>
    </w:rPr>
  </w:style>
  <w:style w:type="paragraph" w:customStyle="1" w:styleId="119">
    <w:name w:val="首行缩进"/>
    <w:basedOn w:val="1"/>
    <w:qFormat/>
    <w:uiPriority w:val="0"/>
    <w:pPr>
      <w:tabs>
        <w:tab w:val="left" w:pos="540"/>
      </w:tabs>
      <w:spacing w:line="360" w:lineRule="auto"/>
      <w:ind w:left="540"/>
    </w:pPr>
    <w:rPr>
      <w:rFonts w:eastAsia="仿宋_GB2312"/>
    </w:rPr>
  </w:style>
  <w:style w:type="paragraph" w:customStyle="1" w:styleId="12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21">
    <w:name w:val="表头样式"/>
    <w:basedOn w:val="1"/>
    <w:qFormat/>
    <w:uiPriority w:val="0"/>
    <w:pPr>
      <w:autoSpaceDE w:val="0"/>
      <w:autoSpaceDN w:val="0"/>
      <w:adjustRightInd w:val="0"/>
      <w:spacing w:line="360" w:lineRule="auto"/>
      <w:jc w:val="left"/>
    </w:pPr>
    <w:rPr>
      <w:b/>
      <w:kern w:val="0"/>
      <w:sz w:val="21"/>
    </w:rPr>
  </w:style>
  <w:style w:type="paragraph" w:customStyle="1" w:styleId="122">
    <w:name w:val="样式2"/>
    <w:basedOn w:val="7"/>
    <w:qFormat/>
    <w:uiPriority w:val="0"/>
    <w:pPr>
      <w:tabs>
        <w:tab w:val="left" w:pos="720"/>
      </w:tabs>
      <w:spacing w:before="560" w:line="400" w:lineRule="exact"/>
      <w:ind w:left="420" w:hanging="420"/>
      <w:jc w:val="center"/>
      <w:outlineLvl w:val="0"/>
    </w:pPr>
    <w:rPr>
      <w:b w:val="0"/>
      <w:sz w:val="44"/>
    </w:rPr>
  </w:style>
  <w:style w:type="paragraph" w:customStyle="1" w:styleId="123">
    <w:name w:val="af"/>
    <w:basedOn w:val="1"/>
    <w:qFormat/>
    <w:uiPriority w:val="0"/>
    <w:pPr>
      <w:widowControl/>
      <w:spacing w:line="300" w:lineRule="atLeast"/>
      <w:jc w:val="left"/>
    </w:pPr>
    <w:rPr>
      <w:rFonts w:ascii="宋体" w:hAnsi="宋体"/>
      <w:kern w:val="0"/>
      <w:sz w:val="18"/>
    </w:rPr>
  </w:style>
  <w:style w:type="paragraph" w:customStyle="1" w:styleId="124">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5">
    <w:name w:val="列表项目"/>
    <w:basedOn w:val="1"/>
    <w:qFormat/>
    <w:uiPriority w:val="0"/>
    <w:pPr>
      <w:tabs>
        <w:tab w:val="left" w:pos="420"/>
      </w:tabs>
      <w:spacing w:line="288" w:lineRule="auto"/>
      <w:ind w:left="840" w:leftChars="200" w:hanging="420" w:hangingChars="200"/>
    </w:pPr>
    <w:rPr>
      <w:sz w:val="21"/>
    </w:rPr>
  </w:style>
  <w:style w:type="paragraph" w:customStyle="1" w:styleId="126">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7">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28">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9">
    <w:name w:val="_"/>
    <w:basedOn w:val="1"/>
    <w:qFormat/>
    <w:uiPriority w:val="0"/>
    <w:pPr>
      <w:adjustRightInd w:val="0"/>
      <w:spacing w:line="360" w:lineRule="auto"/>
      <w:ind w:left="480" w:firstLine="200" w:firstLineChars="200"/>
      <w:textAlignment w:val="baseline"/>
    </w:pPr>
    <w:rPr>
      <w:kern w:val="0"/>
      <w:sz w:val="24"/>
    </w:rPr>
  </w:style>
  <w:style w:type="paragraph" w:customStyle="1" w:styleId="130">
    <w:name w:val="文章正文"/>
    <w:basedOn w:val="1"/>
    <w:qFormat/>
    <w:uiPriority w:val="0"/>
    <w:pPr>
      <w:ind w:firstLine="560" w:firstLineChars="200"/>
    </w:pPr>
    <w:rPr>
      <w:rFonts w:ascii="仿宋_GB2312" w:hAnsi="宋体" w:eastAsia="仿宋_GB2312"/>
      <w:color w:val="000000"/>
    </w:rPr>
  </w:style>
  <w:style w:type="paragraph" w:customStyle="1" w:styleId="131">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32">
    <w:name w:val="正文（首行不缩进）"/>
    <w:basedOn w:val="1"/>
    <w:qFormat/>
    <w:uiPriority w:val="0"/>
    <w:pPr>
      <w:autoSpaceDE w:val="0"/>
      <w:autoSpaceDN w:val="0"/>
      <w:adjustRightInd w:val="0"/>
      <w:spacing w:line="360" w:lineRule="auto"/>
      <w:jc w:val="left"/>
    </w:pPr>
    <w:rPr>
      <w:kern w:val="0"/>
      <w:sz w:val="21"/>
    </w:rPr>
  </w:style>
  <w:style w:type="paragraph" w:customStyle="1" w:styleId="133">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3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5">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6">
    <w:name w:val="标题无"/>
    <w:basedOn w:val="1"/>
    <w:qFormat/>
    <w:uiPriority w:val="0"/>
    <w:pPr>
      <w:spacing w:line="360" w:lineRule="auto"/>
    </w:pPr>
    <w:rPr>
      <w:sz w:val="24"/>
    </w:rPr>
  </w:style>
  <w:style w:type="paragraph" w:customStyle="1" w:styleId="137">
    <w:name w:val="图例"/>
    <w:basedOn w:val="1"/>
    <w:qFormat/>
    <w:uiPriority w:val="0"/>
    <w:pPr>
      <w:spacing w:before="120" w:after="120" w:line="360" w:lineRule="auto"/>
      <w:jc w:val="center"/>
    </w:pPr>
    <w:rPr>
      <w:rFonts w:eastAsia="仿宋_GB2312"/>
      <w:b/>
      <w:sz w:val="24"/>
    </w:rPr>
  </w:style>
  <w:style w:type="paragraph" w:customStyle="1" w:styleId="138">
    <w:name w:val="文本框样式1"/>
    <w:basedOn w:val="1"/>
    <w:qFormat/>
    <w:uiPriority w:val="0"/>
    <w:pPr>
      <w:adjustRightInd w:val="0"/>
      <w:snapToGrid w:val="0"/>
      <w:spacing w:before="60" w:line="180" w:lineRule="exact"/>
      <w:jc w:val="center"/>
    </w:pPr>
    <w:rPr>
      <w:sz w:val="21"/>
    </w:rPr>
  </w:style>
  <w:style w:type="paragraph" w:customStyle="1" w:styleId="139">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40">
    <w:name w:val="正文4"/>
    <w:basedOn w:val="1"/>
    <w:qFormat/>
    <w:uiPriority w:val="0"/>
    <w:pPr>
      <w:tabs>
        <w:tab w:val="left" w:pos="1275"/>
      </w:tabs>
      <w:spacing w:before="60" w:after="60" w:line="360" w:lineRule="auto"/>
      <w:ind w:left="820" w:leftChars="400" w:hanging="705"/>
    </w:pPr>
    <w:rPr>
      <w:sz w:val="24"/>
    </w:rPr>
  </w:style>
  <w:style w:type="paragraph" w:customStyle="1" w:styleId="141">
    <w:name w:val="Char Char Char"/>
    <w:basedOn w:val="1"/>
    <w:qFormat/>
    <w:uiPriority w:val="0"/>
    <w:rPr>
      <w:rFonts w:ascii="Tahoma" w:hAnsi="Tahoma"/>
      <w:sz w:val="24"/>
    </w:rPr>
  </w:style>
  <w:style w:type="paragraph" w:customStyle="1" w:styleId="142">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43">
    <w:name w:val="样式 正文缩进正文（首行缩进两字）表正文正文非缩进特点标题4段1 + 首行缩进:  2 字符"/>
    <w:basedOn w:val="17"/>
    <w:qFormat/>
    <w:uiPriority w:val="0"/>
    <w:pPr>
      <w:ind w:firstLine="480" w:firstLineChars="200"/>
    </w:pPr>
  </w:style>
  <w:style w:type="paragraph" w:customStyle="1" w:styleId="144">
    <w:name w:val="表格内文字"/>
    <w:basedOn w:val="33"/>
    <w:qFormat/>
    <w:uiPriority w:val="0"/>
    <w:pPr>
      <w:adjustRightInd w:val="0"/>
    </w:pPr>
    <w:rPr>
      <w:color w:val="000000"/>
      <w:lang w:val="en-GB"/>
    </w:rPr>
  </w:style>
  <w:style w:type="paragraph" w:customStyle="1" w:styleId="14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46">
    <w:name w:val="Char"/>
    <w:basedOn w:val="1"/>
    <w:qFormat/>
    <w:uiPriority w:val="0"/>
    <w:pPr>
      <w:spacing w:line="240" w:lineRule="atLeast"/>
      <w:ind w:left="420" w:firstLine="420"/>
    </w:pPr>
    <w:rPr>
      <w:kern w:val="0"/>
      <w:sz w:val="21"/>
    </w:rPr>
  </w:style>
  <w:style w:type="paragraph" w:customStyle="1" w:styleId="14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48">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9">
    <w:name w:val="样式 首行缩进:  0.74 厘米"/>
    <w:basedOn w:val="1"/>
    <w:qFormat/>
    <w:uiPriority w:val="0"/>
    <w:pPr>
      <w:spacing w:line="360" w:lineRule="auto"/>
      <w:ind w:firstLine="420"/>
    </w:pPr>
    <w:rPr>
      <w:sz w:val="24"/>
    </w:rPr>
  </w:style>
  <w:style w:type="paragraph" w:customStyle="1" w:styleId="150">
    <w:name w:val="首行缩进 1"/>
    <w:basedOn w:val="1"/>
    <w:qFormat/>
    <w:uiPriority w:val="0"/>
    <w:pPr>
      <w:spacing w:after="120" w:line="360" w:lineRule="auto"/>
      <w:ind w:firstLine="200" w:firstLineChars="200"/>
    </w:pPr>
    <w:rPr>
      <w:sz w:val="24"/>
    </w:rPr>
  </w:style>
  <w:style w:type="paragraph" w:customStyle="1" w:styleId="151">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2">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53">
    <w:name w:val="样式1"/>
    <w:basedOn w:val="7"/>
    <w:qFormat/>
    <w:uiPriority w:val="0"/>
    <w:pPr>
      <w:tabs>
        <w:tab w:val="left" w:pos="720"/>
      </w:tabs>
      <w:spacing w:before="500" w:after="260" w:line="560" w:lineRule="atLeast"/>
      <w:ind w:left="420" w:hanging="420"/>
    </w:pPr>
  </w:style>
  <w:style w:type="paragraph" w:customStyle="1" w:styleId="154">
    <w:name w:val="Char Char1 Char"/>
    <w:basedOn w:val="1"/>
    <w:qFormat/>
    <w:uiPriority w:val="0"/>
    <w:rPr>
      <w:rFonts w:ascii="Tahoma" w:hAnsi="Tahoma"/>
      <w:sz w:val="24"/>
      <w:szCs w:val="24"/>
    </w:rPr>
  </w:style>
  <w:style w:type="paragraph" w:customStyle="1" w:styleId="155">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56">
    <w:name w:val="段落正文"/>
    <w:basedOn w:val="1"/>
    <w:qFormat/>
    <w:uiPriority w:val="0"/>
    <w:pPr>
      <w:spacing w:beforeLines="50" w:line="360" w:lineRule="auto"/>
      <w:ind w:firstLine="200" w:firstLineChars="200"/>
    </w:pPr>
    <w:rPr>
      <w:spacing w:val="2"/>
      <w:sz w:val="24"/>
    </w:rPr>
  </w:style>
  <w:style w:type="paragraph" w:customStyle="1" w:styleId="15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8">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59">
    <w:name w:val="二级列表"/>
    <w:basedOn w:val="156"/>
    <w:next w:val="156"/>
    <w:qFormat/>
    <w:uiPriority w:val="0"/>
    <w:pPr>
      <w:tabs>
        <w:tab w:val="left" w:pos="2120"/>
      </w:tabs>
      <w:ind w:firstLine="0" w:firstLineChars="0"/>
    </w:pPr>
    <w:rPr>
      <w:b/>
    </w:rPr>
  </w:style>
  <w:style w:type="paragraph" w:customStyle="1" w:styleId="160">
    <w:name w:val="正文表格"/>
    <w:basedOn w:val="1"/>
    <w:qFormat/>
    <w:uiPriority w:val="0"/>
    <w:pPr>
      <w:adjustRightInd w:val="0"/>
      <w:spacing w:before="40" w:after="40"/>
    </w:pPr>
    <w:rPr>
      <w:sz w:val="24"/>
    </w:rPr>
  </w:style>
  <w:style w:type="paragraph" w:customStyle="1" w:styleId="161">
    <w:name w:val="Char Char 字元 字元 字元 Char Char Char Char"/>
    <w:basedOn w:val="1"/>
    <w:qFormat/>
    <w:uiPriority w:val="0"/>
    <w:pPr>
      <w:adjustRightInd w:val="0"/>
      <w:spacing w:line="360" w:lineRule="auto"/>
    </w:pPr>
    <w:rPr>
      <w:kern w:val="0"/>
      <w:sz w:val="24"/>
    </w:rPr>
  </w:style>
  <w:style w:type="paragraph" w:customStyle="1" w:styleId="162">
    <w:name w:val="样式1xz"/>
    <w:basedOn w:val="1"/>
    <w:qFormat/>
    <w:uiPriority w:val="0"/>
    <w:pPr>
      <w:tabs>
        <w:tab w:val="left" w:pos="1050"/>
        <w:tab w:val="right" w:leader="dot" w:pos="8296"/>
      </w:tabs>
    </w:pPr>
    <w:rPr>
      <w:caps/>
      <w:spacing w:val="20"/>
      <w:sz w:val="24"/>
    </w:rPr>
  </w:style>
  <w:style w:type="paragraph" w:customStyle="1" w:styleId="163">
    <w:name w:val="编号正文"/>
    <w:basedOn w:val="164"/>
    <w:qFormat/>
    <w:uiPriority w:val="0"/>
    <w:pPr>
      <w:snapToGrid/>
      <w:spacing w:line="360" w:lineRule="auto"/>
      <w:ind w:left="1407" w:hanging="1047"/>
      <w:jc w:val="left"/>
    </w:pPr>
    <w:rPr>
      <w:rFonts w:eastAsia="仿宋_GB2312"/>
    </w:rPr>
  </w:style>
  <w:style w:type="paragraph" w:customStyle="1" w:styleId="164">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65">
    <w:name w:val="bt"/>
    <w:basedOn w:val="1"/>
    <w:next w:val="24"/>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66">
    <w:name w:val="标书正文:  0.74 厘米"/>
    <w:basedOn w:val="1"/>
    <w:qFormat/>
    <w:uiPriority w:val="0"/>
    <w:pPr>
      <w:snapToGrid w:val="0"/>
      <w:spacing w:line="360" w:lineRule="auto"/>
      <w:ind w:firstLine="420"/>
    </w:pPr>
    <w:rPr>
      <w:sz w:val="24"/>
    </w:rPr>
  </w:style>
  <w:style w:type="paragraph" w:customStyle="1" w:styleId="167">
    <w:name w:val="Title - Revision"/>
    <w:basedOn w:val="56"/>
    <w:qFormat/>
    <w:uiPriority w:val="0"/>
    <w:pPr>
      <w:spacing w:before="720"/>
    </w:pPr>
  </w:style>
  <w:style w:type="paragraph" w:customStyle="1" w:styleId="16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69">
    <w:name w:val="Char Char Char Char Char Char Char1"/>
    <w:basedOn w:val="1"/>
    <w:qFormat/>
    <w:uiPriority w:val="0"/>
    <w:rPr>
      <w:rFonts w:ascii="Tahoma" w:hAnsi="Tahoma"/>
      <w:sz w:val="24"/>
    </w:rPr>
  </w:style>
  <w:style w:type="paragraph" w:customStyle="1" w:styleId="170">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71">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72">
    <w:name w:val="Char2 Char Char Char Char Char Char"/>
    <w:basedOn w:val="1"/>
    <w:qFormat/>
    <w:uiPriority w:val="0"/>
    <w:rPr>
      <w:rFonts w:ascii="仿宋_GB2312"/>
      <w:b/>
      <w:sz w:val="30"/>
    </w:rPr>
  </w:style>
  <w:style w:type="paragraph" w:customStyle="1" w:styleId="17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74">
    <w:name w:val="00"/>
    <w:basedOn w:val="1"/>
    <w:qFormat/>
    <w:uiPriority w:val="0"/>
    <w:pPr>
      <w:autoSpaceDE w:val="0"/>
      <w:autoSpaceDN w:val="0"/>
      <w:adjustRightInd w:val="0"/>
      <w:jc w:val="left"/>
    </w:pPr>
    <w:rPr>
      <w:rFonts w:ascii="黑体" w:eastAsia="黑体"/>
      <w:b/>
      <w:kern w:val="0"/>
      <w:sz w:val="20"/>
    </w:rPr>
  </w:style>
  <w:style w:type="paragraph" w:customStyle="1" w:styleId="175">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76">
    <w:name w:val="默认段落字体 Para Char Char Char Char Char Char Char Char Char1 Char Char Char Char"/>
    <w:basedOn w:val="1"/>
    <w:qFormat/>
    <w:uiPriority w:val="0"/>
    <w:rPr>
      <w:rFonts w:ascii="Tahoma" w:hAnsi="Tahoma"/>
      <w:sz w:val="24"/>
    </w:rPr>
  </w:style>
  <w:style w:type="paragraph" w:customStyle="1" w:styleId="17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78">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7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80">
    <w:name w:val="IN Feature"/>
    <w:next w:val="12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1">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82">
    <w:name w:val="图片文字"/>
    <w:basedOn w:val="1"/>
    <w:qFormat/>
    <w:uiPriority w:val="0"/>
    <w:pPr>
      <w:spacing w:line="240" w:lineRule="atLeast"/>
      <w:jc w:val="center"/>
    </w:pPr>
    <w:rPr>
      <w:sz w:val="21"/>
    </w:rPr>
  </w:style>
  <w:style w:type="paragraph" w:customStyle="1" w:styleId="183">
    <w:name w:val="Table Contents"/>
    <w:basedOn w:val="24"/>
    <w:qFormat/>
    <w:uiPriority w:val="0"/>
    <w:pPr>
      <w:suppressAutoHyphens/>
      <w:jc w:val="left"/>
    </w:pPr>
    <w:rPr>
      <w:rFonts w:ascii="Times New Roman" w:eastAsia="Times New Roman"/>
      <w:kern w:val="0"/>
      <w:sz w:val="24"/>
    </w:rPr>
  </w:style>
  <w:style w:type="paragraph" w:customStyle="1" w:styleId="184">
    <w:name w:val="Title - Date"/>
    <w:basedOn w:val="56"/>
    <w:next w:val="1"/>
    <w:qFormat/>
    <w:uiPriority w:val="0"/>
    <w:pPr>
      <w:spacing w:before="240" w:after="720"/>
    </w:pPr>
    <w:rPr>
      <w:sz w:val="28"/>
    </w:rPr>
  </w:style>
  <w:style w:type="paragraph" w:customStyle="1" w:styleId="18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86">
    <w:name w:val="Char Char14 Char Char"/>
    <w:basedOn w:val="1"/>
    <w:qFormat/>
    <w:uiPriority w:val="0"/>
    <w:rPr>
      <w:sz w:val="21"/>
      <w:szCs w:val="24"/>
    </w:rPr>
  </w:style>
  <w:style w:type="paragraph" w:customStyle="1" w:styleId="187">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88">
    <w:name w:val="标题3——2"/>
    <w:basedOn w:val="6"/>
    <w:next w:val="58"/>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9">
    <w:name w:val="Char Char Char Char Char Char Char Char Char Char Char Char Char Char Char Char"/>
    <w:basedOn w:val="1"/>
    <w:qFormat/>
    <w:uiPriority w:val="0"/>
    <w:pPr>
      <w:tabs>
        <w:tab w:val="left" w:pos="360"/>
      </w:tabs>
    </w:pPr>
    <w:rPr>
      <w:sz w:val="24"/>
    </w:rPr>
  </w:style>
  <w:style w:type="paragraph" w:customStyle="1" w:styleId="190">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2">
    <w:name w:val="正文文本缩进 21"/>
    <w:basedOn w:val="1"/>
    <w:qFormat/>
    <w:uiPriority w:val="0"/>
    <w:pPr>
      <w:adjustRightInd w:val="0"/>
      <w:spacing w:before="120"/>
      <w:ind w:firstLine="420"/>
      <w:textAlignment w:val="baseline"/>
    </w:pPr>
    <w:rPr>
      <w:sz w:val="24"/>
    </w:rPr>
  </w:style>
  <w:style w:type="paragraph" w:customStyle="1" w:styleId="193">
    <w:name w:val="没有缩进（为图形使用）"/>
    <w:basedOn w:val="1"/>
    <w:qFormat/>
    <w:uiPriority w:val="0"/>
    <w:pPr>
      <w:spacing w:before="120" w:after="120" w:line="360" w:lineRule="auto"/>
    </w:pPr>
    <w:rPr>
      <w:sz w:val="24"/>
    </w:rPr>
  </w:style>
  <w:style w:type="paragraph" w:customStyle="1" w:styleId="194">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5">
    <w:name w:val="_Style 192"/>
    <w:qFormat/>
    <w:uiPriority w:val="0"/>
    <w:rPr>
      <w:rFonts w:ascii="Times New Roman" w:hAnsi="Times New Roman" w:eastAsia="宋体" w:cs="Times New Roman"/>
      <w:kern w:val="2"/>
      <w:sz w:val="21"/>
      <w:lang w:val="en-US" w:eastAsia="zh-CN" w:bidi="ar-SA"/>
    </w:rPr>
  </w:style>
  <w:style w:type="paragraph" w:customStyle="1" w:styleId="19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7">
    <w:name w:val="正文字缩2字"/>
    <w:basedOn w:val="1"/>
    <w:qFormat/>
    <w:uiPriority w:val="0"/>
    <w:pPr>
      <w:spacing w:before="60" w:after="60" w:line="360" w:lineRule="auto"/>
      <w:ind w:left="200" w:leftChars="200" w:firstLine="200" w:firstLineChars="200"/>
    </w:pPr>
    <w:rPr>
      <w:sz w:val="24"/>
    </w:rPr>
  </w:style>
  <w:style w:type="paragraph" w:customStyle="1" w:styleId="198">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99">
    <w:name w:val="样式 宋体 五号 行距: 单倍行距"/>
    <w:basedOn w:val="1"/>
    <w:qFormat/>
    <w:uiPriority w:val="0"/>
    <w:pPr>
      <w:adjustRightInd w:val="0"/>
      <w:jc w:val="left"/>
    </w:pPr>
    <w:rPr>
      <w:rFonts w:ascii="宋体" w:hAnsi="宋体"/>
      <w:kern w:val="0"/>
      <w:sz w:val="21"/>
    </w:rPr>
  </w:style>
  <w:style w:type="paragraph" w:customStyle="1" w:styleId="200">
    <w:name w:val="样式 行距: 1.5 倍行距1"/>
    <w:basedOn w:val="1"/>
    <w:qFormat/>
    <w:uiPriority w:val="0"/>
    <w:pPr>
      <w:snapToGrid w:val="0"/>
    </w:pPr>
    <w:rPr>
      <w:sz w:val="21"/>
    </w:rPr>
  </w:style>
  <w:style w:type="paragraph" w:customStyle="1" w:styleId="201">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02">
    <w:name w:val="表格文本"/>
    <w:qFormat/>
    <w:uiPriority w:val="0"/>
    <w:pPr>
      <w:tabs>
        <w:tab w:val="decimal" w:pos="0"/>
      </w:tabs>
    </w:pPr>
    <w:rPr>
      <w:rFonts w:ascii="Arial" w:hAnsi="Arial" w:eastAsia="宋体" w:cs="Times New Roman"/>
      <w:sz w:val="21"/>
      <w:lang w:val="en-US" w:eastAsia="zh-CN" w:bidi="ar-SA"/>
    </w:rPr>
  </w:style>
  <w:style w:type="paragraph" w:customStyle="1" w:styleId="203">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204">
    <w:name w:val="可研正文"/>
    <w:basedOn w:val="24"/>
    <w:qFormat/>
    <w:uiPriority w:val="0"/>
    <w:pPr>
      <w:adjustRightInd w:val="0"/>
      <w:snapToGrid w:val="0"/>
      <w:spacing w:line="440" w:lineRule="exact"/>
      <w:ind w:firstLine="567"/>
    </w:pPr>
    <w:rPr>
      <w:sz w:val="28"/>
    </w:rPr>
  </w:style>
  <w:style w:type="paragraph" w:customStyle="1" w:styleId="205">
    <w:name w:val="Style Heading 3h3Heading 3 - oldLevel 3 HeadH3level_3PIM 3se..."/>
    <w:basedOn w:val="6"/>
    <w:qFormat/>
    <w:uiPriority w:val="0"/>
    <w:pPr>
      <w:tabs>
        <w:tab w:val="left" w:pos="709"/>
        <w:tab w:val="left" w:pos="1620"/>
      </w:tabs>
      <w:ind w:left="1620" w:hanging="360"/>
    </w:pPr>
  </w:style>
  <w:style w:type="paragraph" w:customStyle="1" w:styleId="206">
    <w:name w:val="正文文本 21"/>
    <w:basedOn w:val="1"/>
    <w:qFormat/>
    <w:uiPriority w:val="0"/>
    <w:pPr>
      <w:adjustRightInd w:val="0"/>
      <w:spacing w:before="120" w:line="360" w:lineRule="auto"/>
      <w:ind w:firstLine="480"/>
      <w:textAlignment w:val="baseline"/>
    </w:pPr>
    <w:rPr>
      <w:sz w:val="24"/>
    </w:rPr>
  </w:style>
  <w:style w:type="paragraph" w:customStyle="1" w:styleId="207">
    <w:name w:val="样式3"/>
    <w:basedOn w:val="4"/>
    <w:next w:val="4"/>
    <w:qFormat/>
    <w:uiPriority w:val="0"/>
    <w:pPr>
      <w:keepLines/>
      <w:adjustRightInd w:val="0"/>
      <w:spacing w:before="340" w:after="330" w:line="576" w:lineRule="auto"/>
    </w:pPr>
    <w:rPr>
      <w:rFonts w:ascii="Times New Roman" w:eastAsia="黑体"/>
      <w:b/>
      <w:kern w:val="44"/>
      <w:sz w:val="44"/>
    </w:rPr>
  </w:style>
  <w:style w:type="paragraph" w:customStyle="1" w:styleId="208">
    <w:name w:val="关键词"/>
    <w:basedOn w:val="1"/>
    <w:next w:val="1"/>
    <w:qFormat/>
    <w:uiPriority w:val="0"/>
    <w:pPr>
      <w:spacing w:line="360" w:lineRule="auto"/>
    </w:pPr>
    <w:rPr>
      <w:rFonts w:eastAsia="黑体"/>
      <w:sz w:val="20"/>
    </w:rPr>
  </w:style>
  <w:style w:type="paragraph" w:customStyle="1" w:styleId="209">
    <w:name w:val="样式 样式 首行缩进:  2 字符 + 首行缩进:  2 字符"/>
    <w:basedOn w:val="1"/>
    <w:qFormat/>
    <w:uiPriority w:val="0"/>
    <w:pPr>
      <w:spacing w:line="360" w:lineRule="auto"/>
      <w:ind w:firstLine="480" w:firstLineChars="200"/>
    </w:pPr>
    <w:rPr>
      <w:sz w:val="24"/>
    </w:rPr>
  </w:style>
  <w:style w:type="paragraph" w:customStyle="1" w:styleId="210">
    <w:name w:val="附录3"/>
    <w:basedOn w:val="1"/>
    <w:next w:val="1"/>
    <w:qFormat/>
    <w:uiPriority w:val="0"/>
    <w:pPr>
      <w:tabs>
        <w:tab w:val="left" w:pos="851"/>
      </w:tabs>
      <w:ind w:left="425" w:hanging="425"/>
      <w:outlineLvl w:val="2"/>
    </w:pPr>
    <w:rPr>
      <w:rFonts w:eastAsia="黑体"/>
      <w:b/>
      <w:sz w:val="32"/>
    </w:rPr>
  </w:style>
  <w:style w:type="paragraph" w:customStyle="1" w:styleId="211">
    <w:name w:val="摘要"/>
    <w:basedOn w:val="1"/>
    <w:next w:val="5"/>
    <w:qFormat/>
    <w:uiPriority w:val="0"/>
    <w:pPr>
      <w:spacing w:line="360" w:lineRule="auto"/>
    </w:pPr>
    <w:rPr>
      <w:rFonts w:eastAsia="黑体"/>
      <w:sz w:val="20"/>
    </w:rPr>
  </w:style>
  <w:style w:type="paragraph" w:customStyle="1" w:styleId="212">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3">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4">
    <w:name w:val="Char11"/>
    <w:basedOn w:val="1"/>
    <w:qFormat/>
    <w:uiPriority w:val="0"/>
    <w:pPr>
      <w:spacing w:line="240" w:lineRule="atLeast"/>
      <w:ind w:left="420" w:firstLine="420"/>
    </w:pPr>
    <w:rPr>
      <w:kern w:val="0"/>
      <w:sz w:val="21"/>
    </w:rPr>
  </w:style>
  <w:style w:type="paragraph" w:customStyle="1" w:styleId="215">
    <w:name w:val="Char Char Char Char Char"/>
    <w:basedOn w:val="1"/>
    <w:qFormat/>
    <w:uiPriority w:val="0"/>
    <w:pPr>
      <w:tabs>
        <w:tab w:val="left" w:pos="425"/>
      </w:tabs>
      <w:ind w:left="1620" w:hanging="360"/>
    </w:pPr>
    <w:rPr>
      <w:rFonts w:ascii="Tahoma" w:hAnsi="Tahoma"/>
      <w:sz w:val="24"/>
    </w:rPr>
  </w:style>
  <w:style w:type="paragraph" w:customStyle="1" w:styleId="216">
    <w:name w:val="Char1 Char Char Char"/>
    <w:basedOn w:val="1"/>
    <w:qFormat/>
    <w:uiPriority w:val="0"/>
    <w:rPr>
      <w:rFonts w:ascii="Tahoma" w:hAnsi="Tahoma"/>
      <w:sz w:val="30"/>
    </w:rPr>
  </w:style>
  <w:style w:type="paragraph" w:customStyle="1" w:styleId="217">
    <w:name w:val="一级条标题"/>
    <w:basedOn w:val="178"/>
    <w:next w:val="134"/>
    <w:qFormat/>
    <w:uiPriority w:val="0"/>
    <w:pPr>
      <w:ind w:left="525"/>
      <w:outlineLvl w:val="2"/>
    </w:pPr>
    <w:rPr>
      <w:sz w:val="21"/>
    </w:rPr>
  </w:style>
  <w:style w:type="paragraph" w:customStyle="1" w:styleId="218">
    <w:name w:val="样式 标题 1章标题Heading 0Section HeadPIM 1H1h11st levell11H1..."/>
    <w:basedOn w:val="4"/>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9">
    <w:name w:val="正文 + 三号"/>
    <w:basedOn w:val="1"/>
    <w:qFormat/>
    <w:uiPriority w:val="0"/>
    <w:rPr>
      <w:sz w:val="21"/>
    </w:rPr>
  </w:style>
  <w:style w:type="paragraph" w:customStyle="1" w:styleId="220">
    <w:name w:val="Default"/>
    <w:next w:val="1"/>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21">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222">
    <w:name w:val="Note"/>
    <w:basedOn w:val="1"/>
    <w:qFormat/>
    <w:uiPriority w:val="0"/>
    <w:pPr>
      <w:pBdr>
        <w:top w:val="single" w:color="auto" w:sz="12" w:space="3"/>
        <w:bottom w:val="single" w:color="auto" w:sz="12" w:space="3"/>
      </w:pBdr>
      <w:spacing w:line="360" w:lineRule="auto"/>
    </w:pPr>
    <w:rPr>
      <w:sz w:val="24"/>
    </w:rPr>
  </w:style>
  <w:style w:type="paragraph" w:customStyle="1" w:styleId="223">
    <w:name w:val="1.正文"/>
    <w:basedOn w:val="1"/>
    <w:qFormat/>
    <w:uiPriority w:val="0"/>
    <w:pPr>
      <w:spacing w:line="360" w:lineRule="auto"/>
      <w:ind w:left="540" w:leftChars="225" w:firstLine="540" w:firstLineChars="225"/>
    </w:pPr>
    <w:rPr>
      <w:sz w:val="24"/>
    </w:rPr>
  </w:style>
  <w:style w:type="paragraph" w:customStyle="1" w:styleId="224">
    <w:name w:val="样式 标题 1 + 居中 段前: 6 磅 段后: 6 磅 行距: 1.5 倍行距"/>
    <w:basedOn w:val="4"/>
    <w:qFormat/>
    <w:uiPriority w:val="0"/>
    <w:pPr>
      <w:keepLines/>
      <w:adjustRightInd w:val="0"/>
      <w:spacing w:before="120" w:after="120" w:line="360" w:lineRule="auto"/>
      <w:jc w:val="center"/>
    </w:pPr>
    <w:rPr>
      <w:rFonts w:ascii="Times New Roman"/>
      <w:b/>
      <w:kern w:val="44"/>
      <w:sz w:val="32"/>
    </w:rPr>
  </w:style>
  <w:style w:type="paragraph" w:customStyle="1" w:styleId="225">
    <w:name w:val="简单回函地址"/>
    <w:basedOn w:val="1"/>
    <w:qFormat/>
    <w:uiPriority w:val="0"/>
    <w:pPr>
      <w:adjustRightInd w:val="0"/>
      <w:snapToGrid w:val="0"/>
      <w:spacing w:line="360" w:lineRule="auto"/>
    </w:pPr>
    <w:rPr>
      <w:sz w:val="24"/>
    </w:rPr>
  </w:style>
  <w:style w:type="paragraph" w:customStyle="1" w:styleId="226">
    <w:name w:val="表头文本"/>
    <w:qFormat/>
    <w:uiPriority w:val="0"/>
    <w:pPr>
      <w:jc w:val="center"/>
    </w:pPr>
    <w:rPr>
      <w:rFonts w:ascii="Arial" w:hAnsi="Arial" w:eastAsia="宋体" w:cs="Times New Roman"/>
      <w:b/>
      <w:sz w:val="21"/>
      <w:lang w:val="en-US" w:eastAsia="zh-CN" w:bidi="ar-SA"/>
    </w:rPr>
  </w:style>
  <w:style w:type="paragraph" w:customStyle="1" w:styleId="227">
    <w:name w:val="标题2"/>
    <w:basedOn w:val="5"/>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8">
    <w:name w:val="内容标题"/>
    <w:basedOn w:val="19"/>
    <w:qFormat/>
    <w:uiPriority w:val="0"/>
    <w:rPr>
      <w:rFonts w:ascii="Tahoma" w:hAnsi="Tahoma"/>
      <w:sz w:val="24"/>
    </w:rPr>
  </w:style>
  <w:style w:type="paragraph" w:customStyle="1" w:styleId="229">
    <w:name w:val="正文1"/>
    <w:basedOn w:val="1"/>
    <w:qFormat/>
    <w:uiPriority w:val="0"/>
    <w:pPr>
      <w:spacing w:line="300" w:lineRule="auto"/>
      <w:ind w:firstLine="200" w:firstLineChars="200"/>
    </w:pPr>
    <w:rPr>
      <w:sz w:val="24"/>
    </w:rPr>
  </w:style>
  <w:style w:type="paragraph" w:customStyle="1" w:styleId="23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31">
    <w:name w:val="样式4"/>
    <w:basedOn w:val="7"/>
    <w:qFormat/>
    <w:uiPriority w:val="0"/>
    <w:pPr>
      <w:adjustRightInd w:val="0"/>
      <w:snapToGrid w:val="0"/>
    </w:pPr>
  </w:style>
  <w:style w:type="paragraph" w:customStyle="1" w:styleId="232">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3">
    <w:name w:val="样式 标题 6第五层条 + 三号 段前: 0.5 行"/>
    <w:basedOn w:val="9"/>
    <w:qFormat/>
    <w:uiPriority w:val="0"/>
    <w:pPr>
      <w:widowControl/>
      <w:adjustRightInd/>
      <w:snapToGrid/>
      <w:spacing w:beforeLines="50"/>
      <w:jc w:val="left"/>
    </w:pPr>
    <w:rPr>
      <w:snapToGrid w:val="0"/>
      <w:kern w:val="24"/>
      <w:sz w:val="28"/>
    </w:rPr>
  </w:style>
  <w:style w:type="paragraph" w:customStyle="1" w:styleId="234">
    <w:name w:val="二级条标题"/>
    <w:basedOn w:val="217"/>
    <w:next w:val="134"/>
    <w:qFormat/>
    <w:uiPriority w:val="0"/>
    <w:pPr>
      <w:ind w:left="840"/>
      <w:outlineLvl w:val="3"/>
    </w:pPr>
  </w:style>
  <w:style w:type="paragraph" w:customStyle="1" w:styleId="235">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36">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237">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23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39">
    <w:name w:val="文本1"/>
    <w:basedOn w:val="1"/>
    <w:qFormat/>
    <w:uiPriority w:val="0"/>
    <w:pPr>
      <w:adjustRightInd w:val="0"/>
      <w:spacing w:line="312" w:lineRule="atLeast"/>
      <w:jc w:val="center"/>
      <w:textAlignment w:val="baseline"/>
    </w:pPr>
    <w:rPr>
      <w:kern w:val="0"/>
      <w:sz w:val="18"/>
    </w:rPr>
  </w:style>
  <w:style w:type="paragraph" w:customStyle="1" w:styleId="240">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41">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2">
    <w:name w:val="Char1 Char Char Char1"/>
    <w:basedOn w:val="1"/>
    <w:qFormat/>
    <w:uiPriority w:val="0"/>
    <w:rPr>
      <w:rFonts w:ascii="Tahoma" w:hAnsi="Tahoma"/>
      <w:sz w:val="24"/>
    </w:rPr>
  </w:style>
  <w:style w:type="paragraph" w:customStyle="1" w:styleId="243">
    <w:name w:val="标准正文"/>
    <w:basedOn w:val="3"/>
    <w:qFormat/>
    <w:uiPriority w:val="0"/>
    <w:pPr>
      <w:spacing w:before="60" w:after="60" w:line="360" w:lineRule="auto"/>
      <w:ind w:left="0" w:firstLine="482"/>
    </w:pPr>
    <w:rPr>
      <w:rFonts w:ascii="Arial" w:hAnsi="Arial"/>
      <w:sz w:val="24"/>
    </w:rPr>
  </w:style>
  <w:style w:type="paragraph" w:customStyle="1" w:styleId="244">
    <w:name w:val="CSS1级正文 Char"/>
    <w:basedOn w:val="24"/>
    <w:qFormat/>
    <w:uiPriority w:val="0"/>
    <w:pPr>
      <w:adjustRightInd w:val="0"/>
      <w:snapToGrid w:val="0"/>
      <w:spacing w:line="360" w:lineRule="auto"/>
      <w:ind w:firstLine="480"/>
    </w:pPr>
    <w:rPr>
      <w:rFonts w:ascii="Times New Roman" w:eastAsia="宋体"/>
      <w:sz w:val="24"/>
    </w:rPr>
  </w:style>
  <w:style w:type="paragraph" w:customStyle="1" w:styleId="245">
    <w:name w:val="Char1"/>
    <w:basedOn w:val="1"/>
    <w:qFormat/>
    <w:uiPriority w:val="0"/>
    <w:rPr>
      <w:sz w:val="21"/>
    </w:rPr>
  </w:style>
  <w:style w:type="paragraph" w:customStyle="1" w:styleId="246">
    <w:name w:val="默认段落字体 Para Char Char Char Char Char Char Char"/>
    <w:basedOn w:val="1"/>
    <w:qFormat/>
    <w:uiPriority w:val="0"/>
    <w:rPr>
      <w:rFonts w:ascii="Tahoma" w:hAnsi="Tahoma"/>
      <w:sz w:val="24"/>
    </w:rPr>
  </w:style>
  <w:style w:type="paragraph" w:customStyle="1" w:styleId="247">
    <w:name w:val="1"/>
    <w:basedOn w:val="1"/>
    <w:next w:val="33"/>
    <w:qFormat/>
    <w:uiPriority w:val="0"/>
    <w:rPr>
      <w:rFonts w:ascii="宋体" w:hAnsi="Courier New"/>
      <w:sz w:val="21"/>
    </w:rPr>
  </w:style>
  <w:style w:type="table" w:customStyle="1" w:styleId="248">
    <w:name w:val="网格型1"/>
    <w:basedOn w:val="59"/>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49">
    <w:name w:val="目录 53"/>
    <w:next w:val="1"/>
    <w:qFormat/>
    <w:uiPriority w:val="0"/>
    <w:pPr>
      <w:wordWrap w:val="0"/>
      <w:ind w:left="1275"/>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11.xml"/><Relationship Id="rId15" Type="http://schemas.openxmlformats.org/officeDocument/2006/relationships/header" Target="header3.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41</Pages>
  <Words>13590</Words>
  <Characters>14284</Characters>
  <Lines>124</Lines>
  <Paragraphs>35</Paragraphs>
  <TotalTime>1</TotalTime>
  <ScaleCrop>false</ScaleCrop>
  <LinksUpToDate>false</LinksUpToDate>
  <CharactersWithSpaces>15600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2024-03-18T01:34:00Z</dcterms:created>
  <dc:creator>周媛媛</dc:creator>
  <cp:lastModifiedBy>星星</cp:lastModifiedBy>
  <cp:lastPrinted>2023-02-23T18:08:00Z</cp:lastPrinted>
  <dcterms:modified xsi:type="dcterms:W3CDTF">2025-06-09T09:18:15Z</dcterms:modified>
  <dc:title>竞争性谈判文件</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EA5DB38B4F9A4CA9A91E4F6BDE788FA1_13</vt:lpwstr>
  </property>
  <property fmtid="{D5CDD505-2E9C-101B-9397-08002B2CF9AE}" pid="4" name="KSOTemplateDocerSaveRecord">
    <vt:lpwstr>eyJoZGlkIjoiZTU3ZmJmMzEwNDc0N2MzZWMyNGQyMDI0ODlkZWI2ZDAiLCJ1c2VySWQiOiIxNDU1MzA0NzU3In0=</vt:lpwstr>
  </property>
</Properties>
</file>