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D50D">
      <w:pPr>
        <w:keepNext w:val="0"/>
        <w:keepLines w:val="0"/>
        <w:pageBreakBefore w:val="0"/>
        <w:widowControl w:val="0"/>
        <w:kinsoku/>
        <w:wordWrap/>
        <w:overflowPunct w:val="0"/>
        <w:topLinePunct w:val="0"/>
        <w:autoSpaceDE/>
        <w:autoSpaceDN/>
        <w:bidi w:val="0"/>
        <w:adjustRightInd w:val="0"/>
        <w:snapToGrid/>
        <w:spacing w:line="240" w:lineRule="auto"/>
        <w:ind w:left="0" w:right="0"/>
        <w:jc w:val="both"/>
        <w:textAlignment w:val="baseline"/>
        <w:outlineLvl w:val="9"/>
        <w:rPr>
          <w:rFonts w:hint="default" w:ascii="Times New Roman" w:hAnsi="Times New Roman" w:eastAsia="方正黑体_GBK" w:cs="Times New Roman"/>
          <w:color w:val="auto"/>
          <w:spacing w:val="0"/>
          <w:w w:val="100"/>
          <w:position w:val="0"/>
          <w:sz w:val="32"/>
          <w:szCs w:val="32"/>
          <w:lang w:val="en-US" w:eastAsia="zh-CN" w:bidi="ar-SA"/>
        </w:rPr>
      </w:pPr>
      <w:r>
        <w:rPr>
          <w:rFonts w:hint="default" w:ascii="Times New Roman" w:hAnsi="Times New Roman" w:eastAsia="方正黑体_GBK" w:cs="Times New Roman"/>
          <w:color w:val="auto"/>
          <w:spacing w:val="0"/>
          <w:w w:val="100"/>
          <w:position w:val="0"/>
          <w:sz w:val="32"/>
          <w:szCs w:val="32"/>
          <w:lang w:val="en-US" w:eastAsia="zh-CN" w:bidi="ar-SA"/>
        </w:rPr>
        <w:t>附件</w:t>
      </w:r>
    </w:p>
    <w:p w14:paraId="024B18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9"/>
        <w:rPr>
          <w:rFonts w:hint="default" w:ascii="Times New Roman" w:hAnsi="Times New Roman" w:eastAsia="方正小标宋_GBK" w:cs="Times New Roman"/>
          <w:color w:val="auto"/>
          <w:spacing w:val="0"/>
          <w:w w:val="100"/>
          <w:position w:val="0"/>
          <w:sz w:val="32"/>
          <w:szCs w:val="32"/>
          <w:lang w:val="en-US" w:eastAsia="zh-CN" w:bidi="ar-SA"/>
        </w:rPr>
      </w:pPr>
    </w:p>
    <w:p w14:paraId="0F967B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9"/>
        <w:rPr>
          <w:rFonts w:hint="default" w:ascii="Times New Roman" w:hAnsi="Times New Roman" w:eastAsia="方正黑体_GBK" w:cs="Times New Roman"/>
          <w:color w:val="auto"/>
          <w:spacing w:val="0"/>
          <w:w w:val="100"/>
          <w:position w:val="0"/>
          <w:sz w:val="44"/>
          <w:szCs w:val="44"/>
          <w:lang w:eastAsia="zh-CN" w:bidi="ar-SA"/>
        </w:rPr>
      </w:pPr>
      <w:r>
        <w:rPr>
          <w:rFonts w:hint="default" w:ascii="Times New Roman" w:hAnsi="Times New Roman" w:eastAsia="方正小标宋_GBK" w:cs="Times New Roman"/>
          <w:color w:val="auto"/>
          <w:spacing w:val="0"/>
          <w:w w:val="100"/>
          <w:position w:val="0"/>
          <w:sz w:val="44"/>
          <w:szCs w:val="44"/>
          <w:lang w:val="en-US" w:eastAsia="zh-CN" w:bidi="ar-SA"/>
        </w:rPr>
        <w:t>广交会重庆市交易团</w:t>
      </w:r>
      <w:r>
        <w:rPr>
          <w:rFonts w:hint="default" w:ascii="Times New Roman" w:hAnsi="Times New Roman" w:eastAsia="方正小标宋_GBK" w:cs="Times New Roman"/>
          <w:color w:val="auto"/>
          <w:spacing w:val="0"/>
          <w:w w:val="100"/>
          <w:position w:val="0"/>
          <w:sz w:val="44"/>
          <w:szCs w:val="44"/>
          <w:lang w:bidi="ar-SA"/>
        </w:rPr>
        <w:t>一般性展位评</w:t>
      </w:r>
      <w:r>
        <w:rPr>
          <w:rFonts w:hint="default" w:ascii="Times New Roman" w:hAnsi="Times New Roman" w:eastAsia="方正小标宋_GBK" w:cs="Times New Roman"/>
          <w:color w:val="auto"/>
          <w:spacing w:val="0"/>
          <w:w w:val="100"/>
          <w:position w:val="0"/>
          <w:sz w:val="44"/>
          <w:szCs w:val="44"/>
          <w:lang w:val="en-US" w:eastAsia="zh-CN" w:bidi="ar-SA"/>
        </w:rPr>
        <w:t>审</w:t>
      </w:r>
      <w:r>
        <w:rPr>
          <w:rFonts w:hint="default" w:ascii="Times New Roman" w:hAnsi="Times New Roman" w:eastAsia="方正小标宋_GBK" w:cs="Times New Roman"/>
          <w:color w:val="auto"/>
          <w:spacing w:val="0"/>
          <w:w w:val="100"/>
          <w:position w:val="0"/>
          <w:sz w:val="44"/>
          <w:szCs w:val="44"/>
          <w:lang w:bidi="ar-SA"/>
        </w:rPr>
        <w:t>标准</w:t>
      </w:r>
    </w:p>
    <w:p w14:paraId="254484B0">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p>
    <w:p w14:paraId="058A977B">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交易团对申请一般性展位的企业分展区进行量化评分，量化评分标准（满分100分）如下：</w:t>
      </w:r>
    </w:p>
    <w:p w14:paraId="106620B9">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3"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黑体_GBK" w:cs="Times New Roman"/>
          <w:b/>
          <w:bCs/>
          <w:color w:val="auto"/>
          <w:spacing w:val="0"/>
          <w:w w:val="100"/>
          <w:position w:val="0"/>
          <w:sz w:val="32"/>
          <w:szCs w:val="32"/>
          <w:lang w:val="en-US" w:eastAsia="zh-CN" w:bidi="ar-SA"/>
        </w:rPr>
        <w:t>一、</w:t>
      </w:r>
      <w:r>
        <w:rPr>
          <w:rFonts w:hint="default" w:ascii="Times New Roman" w:hAnsi="Times New Roman" w:eastAsia="方正黑体_GBK" w:cs="Times New Roman"/>
          <w:color w:val="auto"/>
          <w:spacing w:val="0"/>
          <w:w w:val="100"/>
          <w:position w:val="0"/>
          <w:sz w:val="32"/>
          <w:szCs w:val="32"/>
          <w:lang w:bidi="ar-SA"/>
        </w:rPr>
        <w:t>出口额及</w:t>
      </w:r>
      <w:r>
        <w:rPr>
          <w:rFonts w:hint="default" w:ascii="Times New Roman" w:hAnsi="Times New Roman" w:eastAsia="方正黑体_GBK" w:cs="Times New Roman"/>
          <w:color w:val="auto"/>
          <w:spacing w:val="0"/>
          <w:w w:val="100"/>
          <w:position w:val="0"/>
          <w:sz w:val="32"/>
          <w:szCs w:val="32"/>
          <w:lang w:val="en-US" w:eastAsia="zh-CN" w:bidi="ar-SA"/>
        </w:rPr>
        <w:t>增幅</w:t>
      </w:r>
      <w:r>
        <w:rPr>
          <w:rFonts w:hint="default" w:ascii="Times New Roman" w:hAnsi="Times New Roman" w:eastAsia="方正黑体_GBK" w:cs="Times New Roman"/>
          <w:color w:val="auto"/>
          <w:spacing w:val="0"/>
          <w:w w:val="100"/>
          <w:position w:val="0"/>
          <w:sz w:val="32"/>
          <w:szCs w:val="32"/>
          <w:lang w:bidi="ar-SA"/>
        </w:rPr>
        <w:t>（</w:t>
      </w:r>
      <w:r>
        <w:rPr>
          <w:rFonts w:hint="default" w:ascii="Times New Roman" w:hAnsi="Times New Roman" w:eastAsia="方正黑体_GBK" w:cs="Times New Roman"/>
          <w:color w:val="auto"/>
          <w:spacing w:val="0"/>
          <w:w w:val="100"/>
          <w:position w:val="0"/>
          <w:sz w:val="32"/>
          <w:szCs w:val="32"/>
          <w:lang w:val="en-US" w:eastAsia="zh-CN" w:bidi="ar-SA"/>
        </w:rPr>
        <w:t>30</w:t>
      </w:r>
      <w:r>
        <w:rPr>
          <w:rFonts w:hint="default" w:ascii="Times New Roman" w:hAnsi="Times New Roman" w:eastAsia="方正黑体_GBK" w:cs="Times New Roman"/>
          <w:color w:val="auto"/>
          <w:spacing w:val="0"/>
          <w:w w:val="100"/>
          <w:position w:val="0"/>
          <w:sz w:val="32"/>
          <w:szCs w:val="32"/>
          <w:lang w:bidi="ar-SA"/>
        </w:rPr>
        <w:t>分）</w:t>
      </w:r>
    </w:p>
    <w:p w14:paraId="6B0D49D2">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eastAsia="zh-CN" w:bidi="ar-SA"/>
        </w:rPr>
      </w:pPr>
      <w:r>
        <w:rPr>
          <w:rFonts w:hint="default" w:ascii="Times New Roman" w:hAnsi="Times New Roman" w:eastAsia="方正仿宋_GBK" w:cs="Times New Roman"/>
          <w:color w:val="auto"/>
          <w:spacing w:val="0"/>
          <w:w w:val="100"/>
          <w:position w:val="0"/>
          <w:sz w:val="32"/>
          <w:szCs w:val="32"/>
          <w:lang w:bidi="ar-SA"/>
        </w:rPr>
        <w:t>（一）</w:t>
      </w:r>
      <w:r>
        <w:rPr>
          <w:rFonts w:hint="default" w:ascii="Times New Roman" w:hAnsi="Times New Roman" w:eastAsia="方正仿宋_GBK" w:cs="Times New Roman"/>
          <w:color w:val="auto"/>
          <w:spacing w:val="0"/>
          <w:w w:val="100"/>
          <w:position w:val="0"/>
          <w:sz w:val="32"/>
          <w:szCs w:val="32"/>
          <w:lang w:val="en-US" w:eastAsia="zh-CN" w:bidi="ar-SA"/>
        </w:rPr>
        <w:t>出口额：</w:t>
      </w:r>
      <w:r>
        <w:rPr>
          <w:rFonts w:hint="default" w:ascii="Times New Roman" w:hAnsi="Times New Roman" w:eastAsia="方正仿宋_GBK" w:cs="Times New Roman"/>
          <w:color w:val="auto"/>
          <w:spacing w:val="0"/>
          <w:w w:val="100"/>
          <w:position w:val="0"/>
          <w:sz w:val="32"/>
          <w:szCs w:val="32"/>
          <w:lang w:bidi="ar-SA"/>
        </w:rPr>
        <w:t>非流通型企业出口每</w:t>
      </w:r>
      <w:r>
        <w:rPr>
          <w:rFonts w:hint="default" w:ascii="Times New Roman" w:hAnsi="Times New Roman" w:eastAsia="方正仿宋_GBK" w:cs="Times New Roman"/>
          <w:color w:val="auto"/>
          <w:spacing w:val="0"/>
          <w:w w:val="100"/>
          <w:position w:val="0"/>
          <w:sz w:val="32"/>
          <w:szCs w:val="32"/>
          <w:lang w:val="en-US" w:eastAsia="zh-CN" w:bidi="ar-SA"/>
        </w:rPr>
        <w:t>1</w:t>
      </w:r>
      <w:r>
        <w:rPr>
          <w:rFonts w:hint="default" w:ascii="Times New Roman" w:hAnsi="Times New Roman" w:eastAsia="方正仿宋_GBK" w:cs="Times New Roman"/>
          <w:color w:val="auto"/>
          <w:spacing w:val="0"/>
          <w:w w:val="100"/>
          <w:position w:val="0"/>
          <w:sz w:val="32"/>
          <w:szCs w:val="32"/>
          <w:lang w:bidi="ar-SA"/>
        </w:rPr>
        <w:t>万美元计0.</w:t>
      </w:r>
      <w:r>
        <w:rPr>
          <w:rFonts w:hint="default" w:ascii="Times New Roman" w:hAnsi="Times New Roman" w:eastAsia="方正仿宋_GBK" w:cs="Times New Roman"/>
          <w:color w:val="auto"/>
          <w:spacing w:val="0"/>
          <w:w w:val="100"/>
          <w:position w:val="0"/>
          <w:sz w:val="32"/>
          <w:szCs w:val="32"/>
          <w:lang w:val="en-US" w:eastAsia="zh-CN" w:bidi="ar-SA"/>
        </w:rPr>
        <w:t>1</w:t>
      </w:r>
      <w:r>
        <w:rPr>
          <w:rFonts w:hint="default" w:ascii="Times New Roman" w:hAnsi="Times New Roman" w:eastAsia="方正仿宋_GBK" w:cs="Times New Roman"/>
          <w:color w:val="auto"/>
          <w:spacing w:val="0"/>
          <w:w w:val="100"/>
          <w:position w:val="0"/>
          <w:sz w:val="32"/>
          <w:szCs w:val="32"/>
          <w:lang w:bidi="ar-SA"/>
        </w:rPr>
        <w:t>分，流通型企业出口每2万美元计0.</w:t>
      </w:r>
      <w:r>
        <w:rPr>
          <w:rFonts w:hint="default" w:ascii="Times New Roman" w:hAnsi="Times New Roman" w:eastAsia="方正仿宋_GBK" w:cs="Times New Roman"/>
          <w:color w:val="auto"/>
          <w:spacing w:val="0"/>
          <w:w w:val="100"/>
          <w:position w:val="0"/>
          <w:sz w:val="32"/>
          <w:szCs w:val="32"/>
          <w:lang w:val="en-US" w:eastAsia="zh-CN" w:bidi="ar-SA"/>
        </w:rPr>
        <w:t>1</w:t>
      </w:r>
      <w:r>
        <w:rPr>
          <w:rFonts w:hint="default" w:ascii="Times New Roman" w:hAnsi="Times New Roman" w:eastAsia="方正仿宋_GBK" w:cs="Times New Roman"/>
          <w:color w:val="auto"/>
          <w:spacing w:val="0"/>
          <w:w w:val="100"/>
          <w:position w:val="0"/>
          <w:sz w:val="32"/>
          <w:szCs w:val="32"/>
          <w:lang w:bidi="ar-SA"/>
        </w:rPr>
        <w:t>分。以展位评审时前三年度企业</w:t>
      </w:r>
      <w:r>
        <w:rPr>
          <w:rFonts w:hint="default" w:ascii="Times New Roman" w:hAnsi="Times New Roman" w:eastAsia="方正仿宋_GBK" w:cs="Times New Roman"/>
          <w:color w:val="auto"/>
          <w:spacing w:val="0"/>
          <w:w w:val="100"/>
          <w:position w:val="0"/>
          <w:sz w:val="32"/>
          <w:szCs w:val="32"/>
          <w:lang w:eastAsia="zh-CN" w:bidi="ar-SA"/>
        </w:rPr>
        <w:t>在对应</w:t>
      </w:r>
      <w:r>
        <w:rPr>
          <w:rFonts w:hint="default" w:ascii="Times New Roman" w:hAnsi="Times New Roman" w:eastAsia="方正仿宋_GBK" w:cs="Times New Roman"/>
          <w:color w:val="auto"/>
          <w:spacing w:val="0"/>
          <w:w w:val="100"/>
          <w:position w:val="0"/>
          <w:sz w:val="32"/>
          <w:szCs w:val="32"/>
          <w:lang w:bidi="ar-SA"/>
        </w:rPr>
        <w:t>展区下</w:t>
      </w:r>
      <w:r>
        <w:rPr>
          <w:rFonts w:hint="default" w:ascii="Times New Roman" w:hAnsi="Times New Roman" w:eastAsia="方正仿宋_GBK" w:cs="Times New Roman"/>
          <w:color w:val="auto"/>
          <w:spacing w:val="0"/>
          <w:w w:val="100"/>
          <w:position w:val="0"/>
          <w:sz w:val="32"/>
          <w:szCs w:val="32"/>
          <w:lang w:eastAsia="zh-CN" w:bidi="ar-SA"/>
        </w:rPr>
        <w:t>的</w:t>
      </w:r>
      <w:r>
        <w:rPr>
          <w:rFonts w:hint="default" w:ascii="Times New Roman" w:hAnsi="Times New Roman" w:eastAsia="方正仿宋_GBK" w:cs="Times New Roman"/>
          <w:color w:val="auto"/>
          <w:spacing w:val="0"/>
          <w:w w:val="100"/>
          <w:position w:val="0"/>
          <w:sz w:val="32"/>
          <w:szCs w:val="32"/>
          <w:lang w:bidi="ar-SA"/>
        </w:rPr>
        <w:t>平均出口额作为统计数据</w:t>
      </w:r>
      <w:r>
        <w:rPr>
          <w:rFonts w:hint="default" w:ascii="Times New Roman" w:hAnsi="Times New Roman" w:eastAsia="方正仿宋_GBK" w:cs="Times New Roman"/>
          <w:color w:val="auto"/>
          <w:spacing w:val="0"/>
          <w:w w:val="100"/>
          <w:position w:val="0"/>
          <w:sz w:val="32"/>
          <w:szCs w:val="32"/>
          <w:lang w:eastAsia="zh-CN" w:bidi="ar-SA"/>
        </w:rPr>
        <w:t>。此项总分</w:t>
      </w:r>
      <w:r>
        <w:rPr>
          <w:rFonts w:hint="default" w:ascii="Times New Roman" w:hAnsi="Times New Roman" w:eastAsia="方正仿宋_GBK" w:cs="Times New Roman"/>
          <w:color w:val="auto"/>
          <w:spacing w:val="0"/>
          <w:w w:val="100"/>
          <w:position w:val="0"/>
          <w:sz w:val="32"/>
          <w:szCs w:val="32"/>
          <w:lang w:val="en-US" w:eastAsia="zh-CN" w:bidi="ar-SA"/>
        </w:rPr>
        <w:t>25</w:t>
      </w:r>
      <w:r>
        <w:rPr>
          <w:rFonts w:hint="default" w:ascii="Times New Roman" w:hAnsi="Times New Roman" w:eastAsia="方正仿宋_GBK" w:cs="Times New Roman"/>
          <w:color w:val="auto"/>
          <w:spacing w:val="0"/>
          <w:w w:val="100"/>
          <w:position w:val="0"/>
          <w:sz w:val="32"/>
          <w:szCs w:val="32"/>
          <w:lang w:bidi="ar-SA"/>
        </w:rPr>
        <w:t>分</w:t>
      </w:r>
      <w:r>
        <w:rPr>
          <w:rFonts w:hint="default" w:ascii="Times New Roman" w:hAnsi="Times New Roman" w:eastAsia="方正仿宋_GBK" w:cs="Times New Roman"/>
          <w:color w:val="auto"/>
          <w:spacing w:val="0"/>
          <w:w w:val="100"/>
          <w:position w:val="0"/>
          <w:sz w:val="32"/>
          <w:szCs w:val="32"/>
          <w:lang w:eastAsia="zh-CN" w:bidi="ar-SA"/>
        </w:rPr>
        <w:t>。</w:t>
      </w:r>
    </w:p>
    <w:p w14:paraId="68F6A1E4">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（二）</w:t>
      </w:r>
      <w:r>
        <w:rPr>
          <w:rFonts w:hint="default" w:ascii="Times New Roman" w:hAnsi="Times New Roman" w:eastAsia="方正仿宋_GBK" w:cs="Times New Roman"/>
          <w:color w:val="auto"/>
          <w:spacing w:val="0"/>
          <w:w w:val="100"/>
          <w:position w:val="0"/>
          <w:sz w:val="32"/>
          <w:szCs w:val="32"/>
          <w:lang w:val="en-US" w:eastAsia="zh-CN" w:bidi="ar-SA"/>
        </w:rPr>
        <w:t>出口增幅：</w:t>
      </w:r>
      <w:r>
        <w:rPr>
          <w:rFonts w:hint="default" w:ascii="Times New Roman" w:hAnsi="Times New Roman" w:eastAsia="方正仿宋_GBK" w:cs="Times New Roman"/>
          <w:color w:val="auto"/>
          <w:spacing w:val="0"/>
          <w:w w:val="100"/>
          <w:position w:val="0"/>
          <w:sz w:val="32"/>
          <w:szCs w:val="32"/>
          <w:lang w:bidi="ar-SA"/>
        </w:rPr>
        <w:t>展位评审时前两年，</w:t>
      </w:r>
      <w:r>
        <w:rPr>
          <w:rFonts w:hint="default" w:ascii="Times New Roman" w:hAnsi="Times New Roman" w:eastAsia="方正仿宋_GBK" w:cs="Times New Roman"/>
          <w:color w:val="auto"/>
          <w:spacing w:val="0"/>
          <w:w w:val="100"/>
          <w:position w:val="0"/>
          <w:sz w:val="32"/>
          <w:szCs w:val="32"/>
          <w:lang w:eastAsia="zh-CN" w:bidi="ar-SA"/>
        </w:rPr>
        <w:t>企业在对应</w:t>
      </w:r>
      <w:r>
        <w:rPr>
          <w:rFonts w:hint="default" w:ascii="Times New Roman" w:hAnsi="Times New Roman" w:eastAsia="方正仿宋_GBK" w:cs="Times New Roman"/>
          <w:color w:val="auto"/>
          <w:spacing w:val="0"/>
          <w:w w:val="100"/>
          <w:position w:val="0"/>
          <w:sz w:val="32"/>
          <w:szCs w:val="32"/>
          <w:lang w:bidi="ar-SA"/>
        </w:rPr>
        <w:t>展区下出口额连续实现正增长</w:t>
      </w:r>
      <w:r>
        <w:rPr>
          <w:rFonts w:hint="default" w:ascii="Times New Roman" w:hAnsi="Times New Roman" w:eastAsia="方正仿宋_GBK" w:cs="Times New Roman"/>
          <w:color w:val="auto"/>
          <w:spacing w:val="0"/>
          <w:w w:val="100"/>
          <w:position w:val="0"/>
          <w:sz w:val="32"/>
          <w:szCs w:val="32"/>
          <w:lang w:eastAsia="zh-CN" w:bidi="ar-SA"/>
        </w:rPr>
        <w:t>的</w:t>
      </w:r>
      <w:r>
        <w:rPr>
          <w:rFonts w:hint="default" w:ascii="Times New Roman" w:hAnsi="Times New Roman" w:eastAsia="方正仿宋_GBK" w:cs="Times New Roman"/>
          <w:color w:val="auto"/>
          <w:spacing w:val="0"/>
          <w:w w:val="100"/>
          <w:position w:val="0"/>
          <w:sz w:val="32"/>
          <w:szCs w:val="32"/>
          <w:lang w:bidi="ar-SA"/>
        </w:rPr>
        <w:t>计2分；较上年增幅达5%</w:t>
      </w:r>
      <w:r>
        <w:rPr>
          <w:rFonts w:hint="default" w:ascii="Times New Roman" w:hAnsi="Times New Roman" w:eastAsia="方正仿宋_GBK" w:cs="Times New Roman"/>
          <w:color w:val="auto"/>
          <w:spacing w:val="0"/>
          <w:w w:val="100"/>
          <w:position w:val="0"/>
          <w:sz w:val="32"/>
          <w:szCs w:val="32"/>
          <w:lang w:eastAsia="zh-CN" w:bidi="ar-SA"/>
        </w:rPr>
        <w:t>的</w:t>
      </w:r>
      <w:r>
        <w:rPr>
          <w:rFonts w:hint="default" w:ascii="Times New Roman" w:hAnsi="Times New Roman" w:eastAsia="方正仿宋_GBK" w:cs="Times New Roman"/>
          <w:color w:val="auto"/>
          <w:spacing w:val="0"/>
          <w:w w:val="100"/>
          <w:position w:val="0"/>
          <w:sz w:val="32"/>
          <w:szCs w:val="32"/>
          <w:lang w:bidi="ar-SA"/>
        </w:rPr>
        <w:t>加1分，达到10%</w:t>
      </w:r>
      <w:r>
        <w:rPr>
          <w:rFonts w:hint="default" w:ascii="Times New Roman" w:hAnsi="Times New Roman" w:eastAsia="方正仿宋_GBK" w:cs="Times New Roman"/>
          <w:color w:val="auto"/>
          <w:spacing w:val="0"/>
          <w:w w:val="100"/>
          <w:position w:val="0"/>
          <w:sz w:val="32"/>
          <w:szCs w:val="32"/>
          <w:lang w:eastAsia="zh-CN" w:bidi="ar-SA"/>
        </w:rPr>
        <w:t>的</w:t>
      </w:r>
      <w:r>
        <w:rPr>
          <w:rFonts w:hint="default" w:ascii="Times New Roman" w:hAnsi="Times New Roman" w:eastAsia="方正仿宋_GBK" w:cs="Times New Roman"/>
          <w:color w:val="auto"/>
          <w:spacing w:val="0"/>
          <w:w w:val="100"/>
          <w:position w:val="0"/>
          <w:sz w:val="32"/>
          <w:szCs w:val="32"/>
          <w:lang w:bidi="ar-SA"/>
        </w:rPr>
        <w:t>加2分，达到15%</w:t>
      </w:r>
      <w:r>
        <w:rPr>
          <w:rFonts w:hint="default" w:ascii="Times New Roman" w:hAnsi="Times New Roman" w:eastAsia="方正仿宋_GBK" w:cs="Times New Roman"/>
          <w:color w:val="auto"/>
          <w:spacing w:val="0"/>
          <w:w w:val="100"/>
          <w:position w:val="0"/>
          <w:sz w:val="32"/>
          <w:szCs w:val="32"/>
          <w:lang w:eastAsia="zh-CN" w:bidi="ar-SA"/>
        </w:rPr>
        <w:t>的</w:t>
      </w:r>
      <w:r>
        <w:rPr>
          <w:rFonts w:hint="default" w:ascii="Times New Roman" w:hAnsi="Times New Roman" w:eastAsia="方正仿宋_GBK" w:cs="Times New Roman"/>
          <w:color w:val="auto"/>
          <w:spacing w:val="0"/>
          <w:w w:val="100"/>
          <w:position w:val="0"/>
          <w:sz w:val="32"/>
          <w:szCs w:val="32"/>
          <w:lang w:bidi="ar-SA"/>
        </w:rPr>
        <w:t>加3分，加分上限3分。此项总分5分。</w:t>
      </w:r>
    </w:p>
    <w:p w14:paraId="5F30F0C0">
      <w:pPr>
        <w:keepNext w:val="0"/>
        <w:keepLines w:val="0"/>
        <w:pageBreakBefore w:val="0"/>
        <w:widowControl w:val="0"/>
        <w:suppressLineNumbers w:val="0"/>
        <w:kinsoku/>
        <w:wordWrap/>
        <w:overflowPunct w:val="0"/>
        <w:topLinePunct w:val="0"/>
        <w:autoSpaceDE/>
        <w:autoSpaceDN/>
        <w:bidi w:val="0"/>
        <w:snapToGrid/>
        <w:spacing w:line="240" w:lineRule="auto"/>
        <w:ind w:left="0" w:right="0" w:firstLine="640" w:firstLineChars="200"/>
        <w:jc w:val="both"/>
        <w:outlineLvl w:val="9"/>
        <w:rPr>
          <w:rFonts w:hint="default" w:ascii="Times New Roman" w:hAnsi="Times New Roman" w:eastAsia="方正仿宋_GBK" w:cs="Times New Roman"/>
          <w:snapToGrid w:val="0"/>
          <w:color w:val="auto"/>
          <w:spacing w:val="0"/>
          <w:w w:val="100"/>
          <w:kern w:val="0"/>
          <w:position w:val="0"/>
          <w:sz w:val="32"/>
          <w:szCs w:val="32"/>
          <w:lang w:val="en-US" w:eastAsia="en-US" w:bidi="ar-SA"/>
        </w:rPr>
      </w:pPr>
      <w:r>
        <w:rPr>
          <w:rFonts w:hint="default" w:ascii="Times New Roman" w:hAnsi="Times New Roman" w:eastAsia="方正仿宋_GBK" w:cs="Times New Roman"/>
          <w:snapToGrid w:val="0"/>
          <w:color w:val="auto"/>
          <w:spacing w:val="0"/>
          <w:w w:val="100"/>
          <w:kern w:val="0"/>
          <w:position w:val="0"/>
          <w:sz w:val="32"/>
          <w:szCs w:val="32"/>
          <w:lang w:val="en-US" w:eastAsia="zh-CN" w:bidi="ar-SA"/>
        </w:rPr>
        <w:t>（三）出口额均采用中国海关全口径统计数据核定，并依照商务部最新发布的各展区对应商品海关编码匹配规则统计。</w:t>
      </w:r>
    </w:p>
    <w:p w14:paraId="0128AC82">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黑体_GBK" w:cs="Times New Roman"/>
          <w:color w:val="auto"/>
          <w:spacing w:val="0"/>
          <w:w w:val="100"/>
          <w:position w:val="0"/>
          <w:sz w:val="32"/>
          <w:szCs w:val="32"/>
          <w:lang w:val="en-US" w:eastAsia="zh-CN" w:bidi="ar-SA"/>
        </w:rPr>
        <w:t>二、</w:t>
      </w:r>
      <w:r>
        <w:rPr>
          <w:rFonts w:hint="default" w:ascii="Times New Roman" w:hAnsi="Times New Roman" w:eastAsia="方正黑体_GBK" w:cs="Times New Roman"/>
          <w:color w:val="auto"/>
          <w:spacing w:val="0"/>
          <w:w w:val="100"/>
          <w:position w:val="0"/>
          <w:sz w:val="32"/>
          <w:szCs w:val="32"/>
          <w:lang w:bidi="ar-SA"/>
        </w:rPr>
        <w:t>行业自律（5分）</w:t>
      </w:r>
    </w:p>
    <w:p w14:paraId="1CA1D0C7">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b/>
          <w:bCs/>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val="en-US" w:eastAsia="zh-CN" w:bidi="ar-SA"/>
        </w:rPr>
        <w:t>积极应对国外针对我出口产品发起的“两反（反倾销、反补贴）一保（保障措施）”调查，积极参加行业集体协调，积极维护行业出口质量安全，</w:t>
      </w:r>
      <w:r>
        <w:rPr>
          <w:rFonts w:hint="default" w:ascii="Times New Roman" w:hAnsi="Times New Roman" w:eastAsia="方正仿宋_GBK" w:cs="Times New Roman"/>
          <w:color w:val="auto"/>
          <w:spacing w:val="0"/>
          <w:w w:val="100"/>
          <w:position w:val="0"/>
          <w:sz w:val="32"/>
          <w:szCs w:val="32"/>
          <w:lang w:bidi="ar-SA"/>
        </w:rPr>
        <w:t>计5分。</w:t>
      </w:r>
    </w:p>
    <w:p w14:paraId="1CB8792C">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黑体_GBK" w:cs="Times New Roman"/>
          <w:color w:val="auto"/>
          <w:spacing w:val="0"/>
          <w:w w:val="100"/>
          <w:position w:val="0"/>
          <w:sz w:val="32"/>
          <w:szCs w:val="32"/>
          <w:lang w:val="en-US" w:eastAsia="zh-CN" w:bidi="ar-SA"/>
        </w:rPr>
        <w:t>三、</w:t>
      </w:r>
      <w:r>
        <w:rPr>
          <w:rFonts w:hint="default" w:ascii="Times New Roman" w:hAnsi="Times New Roman" w:eastAsia="方正黑体_GBK" w:cs="Times New Roman"/>
          <w:color w:val="auto"/>
          <w:spacing w:val="0"/>
          <w:w w:val="100"/>
          <w:position w:val="0"/>
          <w:sz w:val="32"/>
          <w:szCs w:val="32"/>
          <w:lang w:bidi="ar-SA"/>
        </w:rPr>
        <w:t>国际通行认证（10分）</w:t>
      </w:r>
    </w:p>
    <w:p w14:paraId="72C24675">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eastAsia="zh-CN" w:bidi="ar-SA"/>
        </w:rPr>
        <w:t>（一）</w:t>
      </w:r>
      <w:r>
        <w:rPr>
          <w:rFonts w:hint="default" w:ascii="Times New Roman" w:hAnsi="Times New Roman" w:eastAsia="方正仿宋_GBK" w:cs="Times New Roman"/>
          <w:color w:val="auto"/>
          <w:spacing w:val="0"/>
          <w:w w:val="100"/>
          <w:position w:val="0"/>
          <w:sz w:val="32"/>
          <w:szCs w:val="32"/>
          <w:lang w:bidi="ar-SA"/>
        </w:rPr>
        <w:t>国际质量管理体系、环境管理体系：</w:t>
      </w:r>
    </w:p>
    <w:p w14:paraId="0C0BF98B">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ISO9000系列质量管理体系</w:t>
      </w:r>
    </w:p>
    <w:p w14:paraId="23EAEFE4">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ISO14000系列环境管理体系</w:t>
      </w:r>
    </w:p>
    <w:p w14:paraId="52044417">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val="en-US" w:eastAsia="zh-CN" w:bidi="ar-SA"/>
        </w:rPr>
        <w:t>ISO45000系列职业健康安全管理体系</w:t>
      </w:r>
    </w:p>
    <w:p w14:paraId="3BB68C76">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SA8000社会责任标准</w:t>
      </w:r>
    </w:p>
    <w:p w14:paraId="3E1A331A">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eastAsia="zh-CN" w:bidi="ar-SA"/>
        </w:rPr>
        <w:t>通过</w:t>
      </w:r>
      <w:r>
        <w:rPr>
          <w:rFonts w:hint="default" w:ascii="Times New Roman" w:hAnsi="Times New Roman" w:eastAsia="方正仿宋_GBK" w:cs="Times New Roman"/>
          <w:color w:val="auto"/>
          <w:spacing w:val="0"/>
          <w:w w:val="100"/>
          <w:position w:val="0"/>
          <w:sz w:val="32"/>
          <w:szCs w:val="32"/>
          <w:lang w:bidi="ar-SA"/>
        </w:rPr>
        <w:t>一项认证</w:t>
      </w:r>
      <w:r>
        <w:rPr>
          <w:rFonts w:hint="default" w:ascii="Times New Roman" w:hAnsi="Times New Roman" w:eastAsia="方正仿宋_GBK" w:cs="Times New Roman"/>
          <w:color w:val="auto"/>
          <w:spacing w:val="0"/>
          <w:w w:val="100"/>
          <w:position w:val="0"/>
          <w:sz w:val="32"/>
          <w:szCs w:val="32"/>
          <w:lang w:eastAsia="zh-CN" w:bidi="ar-SA"/>
        </w:rPr>
        <w:t>计</w:t>
      </w:r>
      <w:r>
        <w:rPr>
          <w:rFonts w:hint="default" w:ascii="Times New Roman" w:hAnsi="Times New Roman" w:eastAsia="方正仿宋_GBK" w:cs="Times New Roman"/>
          <w:color w:val="auto"/>
          <w:spacing w:val="0"/>
          <w:w w:val="100"/>
          <w:position w:val="0"/>
          <w:sz w:val="32"/>
          <w:szCs w:val="32"/>
          <w:lang w:bidi="ar-SA"/>
        </w:rPr>
        <w:t>2分</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企业</w:t>
      </w:r>
      <w:r>
        <w:rPr>
          <w:rFonts w:hint="default" w:ascii="Times New Roman" w:hAnsi="Times New Roman" w:eastAsia="方正仿宋_GBK" w:cs="Times New Roman"/>
          <w:color w:val="auto"/>
          <w:spacing w:val="0"/>
          <w:w w:val="100"/>
          <w:position w:val="0"/>
          <w:sz w:val="32"/>
          <w:szCs w:val="32"/>
          <w:lang w:bidi="ar-SA"/>
        </w:rPr>
        <w:t>通过</w:t>
      </w:r>
      <w:r>
        <w:rPr>
          <w:rFonts w:hint="default" w:ascii="Times New Roman" w:hAnsi="Times New Roman" w:eastAsia="方正仿宋_GBK" w:cs="Times New Roman"/>
          <w:color w:val="auto"/>
          <w:spacing w:val="0"/>
          <w:w w:val="100"/>
          <w:position w:val="0"/>
          <w:sz w:val="32"/>
          <w:szCs w:val="32"/>
          <w:lang w:val="en-US" w:eastAsia="zh-CN" w:bidi="ar-SA"/>
        </w:rPr>
        <w:t>同一系列的数个认证只计1次。</w:t>
      </w:r>
    </w:p>
    <w:p w14:paraId="11B2A04D">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eastAsia="zh-CN" w:bidi="ar-SA"/>
        </w:rPr>
        <w:t>（二）</w:t>
      </w:r>
      <w:r>
        <w:rPr>
          <w:rFonts w:hint="default" w:ascii="Times New Roman" w:hAnsi="Times New Roman" w:eastAsia="方正仿宋_GBK" w:cs="Times New Roman"/>
          <w:color w:val="auto"/>
          <w:spacing w:val="0"/>
          <w:w w:val="100"/>
          <w:position w:val="0"/>
          <w:sz w:val="32"/>
          <w:szCs w:val="32"/>
          <w:lang w:bidi="ar-SA"/>
        </w:rPr>
        <w:t>面向企业的行业认证：</w:t>
      </w:r>
    </w:p>
    <w:p w14:paraId="2EB4A03C">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Oeko-TexStandard100生态纺织品认证</w:t>
      </w:r>
    </w:p>
    <w:p w14:paraId="4C8CF03A">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bidi="ar-SA"/>
        </w:rPr>
        <w:t>HACCP食品生产企业危害分析与关键控制点管理体</w:t>
      </w:r>
      <w:r>
        <w:rPr>
          <w:rFonts w:hint="default" w:ascii="Times New Roman" w:hAnsi="Times New Roman" w:eastAsia="方正仿宋_GBK" w:cs="Times New Roman"/>
          <w:color w:val="auto"/>
          <w:spacing w:val="0"/>
          <w:w w:val="100"/>
          <w:position w:val="0"/>
          <w:sz w:val="32"/>
          <w:szCs w:val="32"/>
          <w:lang w:val="en-US" w:eastAsia="zh-CN" w:bidi="ar-SA"/>
        </w:rPr>
        <w:t>系</w:t>
      </w:r>
    </w:p>
    <w:p w14:paraId="4AD80817">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en-US" w:bidi="ar-SA"/>
        </w:rPr>
      </w:pPr>
      <w:r>
        <w:rPr>
          <w:rFonts w:hint="default" w:ascii="Times New Roman" w:hAnsi="Times New Roman" w:eastAsia="方正仿宋_GBK" w:cs="Times New Roman"/>
          <w:color w:val="auto"/>
          <w:spacing w:val="0"/>
          <w:w w:val="100"/>
          <w:position w:val="0"/>
          <w:sz w:val="32"/>
          <w:szCs w:val="32"/>
          <w:lang w:val="en-US" w:eastAsia="zh-CN" w:bidi="ar-SA"/>
        </w:rPr>
        <w:t>ISO</w:t>
      </w:r>
      <w:r>
        <w:rPr>
          <w:rFonts w:hint="default" w:ascii="Times New Roman" w:hAnsi="Times New Roman" w:eastAsia="方正仿宋_GBK" w:cs="Times New Roman"/>
          <w:color w:val="auto"/>
          <w:spacing w:val="0"/>
          <w:w w:val="100"/>
          <w:position w:val="0"/>
          <w:sz w:val="32"/>
          <w:szCs w:val="32"/>
          <w:lang w:val="en-US" w:eastAsia="en-US" w:bidi="ar-SA"/>
        </w:rPr>
        <w:t>22000食品安全管理</w:t>
      </w:r>
    </w:p>
    <w:p w14:paraId="39B651EB">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ISO/TS16949或IATF16949汽车行业质量体系</w:t>
      </w:r>
    </w:p>
    <w:p w14:paraId="0A872690">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ISO13485医疗器械质量管理体系认证</w:t>
      </w:r>
    </w:p>
    <w:p w14:paraId="087C13C6">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CGMP动态药品生产质量管理规范认证</w:t>
      </w:r>
    </w:p>
    <w:p w14:paraId="691D3E45">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英国零售商协会BRC认证</w:t>
      </w:r>
    </w:p>
    <w:p w14:paraId="04D25A71">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bidi="ar-SA"/>
        </w:rPr>
        <w:t>ICE认证</w:t>
      </w:r>
    </w:p>
    <w:p w14:paraId="48646900">
      <w:pPr>
        <w:keepNext w:val="0"/>
        <w:keepLines w:val="0"/>
        <w:pageBreakBefore w:val="0"/>
        <w:widowControl w:val="0"/>
        <w:suppressLineNumbers w:val="0"/>
        <w:kinsoku/>
        <w:wordWrap/>
        <w:overflowPunct w:val="0"/>
        <w:topLinePunct w:val="0"/>
        <w:autoSpaceDE/>
        <w:autoSpaceDN/>
        <w:bidi w:val="0"/>
        <w:snapToGrid/>
        <w:spacing w:line="240" w:lineRule="auto"/>
        <w:ind w:left="0" w:right="0" w:firstLine="640" w:firstLineChars="200"/>
        <w:jc w:val="both"/>
        <w:outlineLvl w:val="9"/>
        <w:rPr>
          <w:rFonts w:hint="default" w:ascii="Times New Roman" w:hAnsi="Times New Roman" w:eastAsia="方正仿宋_GBK" w:cs="Times New Roman"/>
          <w:color w:val="auto"/>
          <w:spacing w:val="0"/>
          <w:w w:val="100"/>
          <w:position w:val="0"/>
          <w:sz w:val="32"/>
          <w:szCs w:val="32"/>
          <w:lang w:eastAsia="zh-CN" w:bidi="ar-SA"/>
        </w:rPr>
      </w:pPr>
      <w:r>
        <w:rPr>
          <w:rFonts w:hint="default" w:ascii="Times New Roman" w:hAnsi="Times New Roman" w:eastAsia="方正仿宋_GBK" w:cs="Times New Roman"/>
          <w:color w:val="auto"/>
          <w:spacing w:val="0"/>
          <w:w w:val="100"/>
          <w:position w:val="0"/>
          <w:sz w:val="32"/>
          <w:szCs w:val="32"/>
          <w:lang w:bidi="ar-SA"/>
        </w:rPr>
        <w:t>通过一项认证</w:t>
      </w:r>
      <w:r>
        <w:rPr>
          <w:rFonts w:hint="default" w:ascii="Times New Roman" w:hAnsi="Times New Roman" w:eastAsia="方正仿宋_GBK" w:cs="Times New Roman"/>
          <w:color w:val="auto"/>
          <w:spacing w:val="0"/>
          <w:w w:val="100"/>
          <w:position w:val="0"/>
          <w:sz w:val="32"/>
          <w:szCs w:val="32"/>
          <w:lang w:eastAsia="zh-CN" w:bidi="ar-SA"/>
        </w:rPr>
        <w:t>计</w:t>
      </w:r>
      <w:r>
        <w:rPr>
          <w:rFonts w:hint="default" w:ascii="Times New Roman" w:hAnsi="Times New Roman" w:eastAsia="方正仿宋_GBK" w:cs="Times New Roman"/>
          <w:color w:val="auto"/>
          <w:spacing w:val="0"/>
          <w:w w:val="100"/>
          <w:position w:val="0"/>
          <w:sz w:val="32"/>
          <w:szCs w:val="32"/>
          <w:lang w:bidi="ar-SA"/>
        </w:rPr>
        <w:t>2分</w:t>
      </w:r>
      <w:r>
        <w:rPr>
          <w:rFonts w:hint="default" w:ascii="Times New Roman" w:hAnsi="Times New Roman" w:eastAsia="方正仿宋_GBK" w:cs="Times New Roman"/>
          <w:color w:val="auto"/>
          <w:spacing w:val="0"/>
          <w:w w:val="100"/>
          <w:position w:val="0"/>
          <w:sz w:val="32"/>
          <w:szCs w:val="32"/>
          <w:lang w:eastAsia="zh-CN" w:bidi="ar-SA"/>
        </w:rPr>
        <w:t>。</w:t>
      </w:r>
    </w:p>
    <w:p w14:paraId="615E69DC">
      <w:pPr>
        <w:keepNext w:val="0"/>
        <w:keepLines w:val="0"/>
        <w:pageBreakBefore w:val="0"/>
        <w:widowControl w:val="0"/>
        <w:suppressLineNumbers w:val="0"/>
        <w:kinsoku/>
        <w:wordWrap/>
        <w:overflowPunct w:val="0"/>
        <w:topLinePunct w:val="0"/>
        <w:autoSpaceDE/>
        <w:autoSpaceDN/>
        <w:bidi w:val="0"/>
        <w:snapToGrid/>
        <w:spacing w:line="240" w:lineRule="auto"/>
        <w:ind w:left="0" w:right="0" w:firstLine="640" w:firstLineChars="200"/>
        <w:jc w:val="both"/>
        <w:outlineLvl w:val="9"/>
        <w:rPr>
          <w:rFonts w:hint="default" w:ascii="Times New Roman" w:hAnsi="Times New Roman" w:eastAsia="方正仿宋_GBK" w:cs="Times New Roman"/>
          <w:color w:val="auto"/>
          <w:spacing w:val="0"/>
          <w:w w:val="100"/>
          <w:position w:val="0"/>
          <w:sz w:val="32"/>
          <w:szCs w:val="32"/>
          <w:lang w:eastAsia="zh-CN" w:bidi="ar-SA"/>
        </w:rPr>
      </w:pPr>
      <w:r>
        <w:rPr>
          <w:rFonts w:hint="default" w:ascii="Times New Roman" w:hAnsi="Times New Roman" w:eastAsia="方正仿宋_GBK" w:cs="Times New Roman"/>
          <w:color w:val="auto"/>
          <w:spacing w:val="0"/>
          <w:w w:val="100"/>
          <w:position w:val="0"/>
          <w:sz w:val="32"/>
          <w:szCs w:val="32"/>
          <w:lang w:eastAsia="zh-CN" w:bidi="ar-SA"/>
        </w:rPr>
        <w:t>以上（一）（二）两项合计不超过4分。</w:t>
      </w:r>
    </w:p>
    <w:p w14:paraId="78249953">
      <w:pPr>
        <w:keepNext w:val="0"/>
        <w:keepLines w:val="0"/>
        <w:pageBreakBefore w:val="0"/>
        <w:widowControl w:val="0"/>
        <w:suppressLineNumbers w:val="0"/>
        <w:kinsoku/>
        <w:wordWrap/>
        <w:overflowPunct w:val="0"/>
        <w:topLinePunct w:val="0"/>
        <w:autoSpaceDE/>
        <w:autoSpaceDN/>
        <w:bidi w:val="0"/>
        <w:snapToGrid/>
        <w:spacing w:line="240" w:lineRule="auto"/>
        <w:ind w:left="0" w:right="0" w:firstLine="640" w:firstLineChars="200"/>
        <w:jc w:val="both"/>
        <w:outlineLvl w:val="9"/>
        <w:rPr>
          <w:rFonts w:hint="default" w:ascii="Times New Roman" w:hAnsi="Times New Roman" w:eastAsia="方正仿宋_GBK" w:cs="Times New Roman"/>
          <w:color w:val="auto"/>
          <w:spacing w:val="0"/>
          <w:w w:val="100"/>
          <w:position w:val="0"/>
          <w:sz w:val="32"/>
          <w:szCs w:val="32"/>
          <w:lang w:eastAsia="zh-CN" w:bidi="ar-SA"/>
        </w:rPr>
      </w:pPr>
      <w:r>
        <w:rPr>
          <w:rFonts w:hint="default" w:ascii="Times New Roman" w:hAnsi="Times New Roman" w:eastAsia="方正仿宋_GBK" w:cs="Times New Roman"/>
          <w:color w:val="auto"/>
          <w:spacing w:val="0"/>
          <w:w w:val="100"/>
          <w:position w:val="0"/>
          <w:sz w:val="32"/>
          <w:szCs w:val="32"/>
          <w:lang w:eastAsia="zh-CN" w:bidi="ar-SA"/>
        </w:rPr>
        <w:t>（三）</w:t>
      </w:r>
      <w:r>
        <w:rPr>
          <w:rFonts w:hint="default" w:ascii="Times New Roman" w:hAnsi="Times New Roman" w:eastAsia="方正仿宋_GBK" w:cs="Times New Roman"/>
          <w:color w:val="auto"/>
          <w:spacing w:val="0"/>
          <w:w w:val="100"/>
          <w:position w:val="0"/>
          <w:sz w:val="32"/>
          <w:szCs w:val="32"/>
          <w:lang w:bidi="ar-SA"/>
        </w:rPr>
        <w:t>面向产品或生产线的行业认证标准</w:t>
      </w:r>
      <w:r>
        <w:rPr>
          <w:rFonts w:hint="default" w:ascii="Times New Roman" w:hAnsi="Times New Roman" w:eastAsia="方正仿宋_GBK" w:cs="Times New Roman"/>
          <w:color w:val="auto"/>
          <w:spacing w:val="0"/>
          <w:w w:val="100"/>
          <w:position w:val="0"/>
          <w:sz w:val="32"/>
          <w:szCs w:val="32"/>
          <w:lang w:eastAsia="zh-CN" w:bidi="ar-SA"/>
        </w:rPr>
        <w:t>：</w:t>
      </w:r>
    </w:p>
    <w:p w14:paraId="44FC1DF9">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bidi="ar-SA"/>
        </w:rPr>
        <w:t>欧盟</w:t>
      </w:r>
      <w:r>
        <w:rPr>
          <w:rFonts w:hint="default" w:ascii="Times New Roman" w:hAnsi="Times New Roman" w:eastAsia="方正仿宋_GBK" w:cs="Times New Roman"/>
          <w:color w:val="auto"/>
          <w:spacing w:val="0"/>
          <w:w w:val="100"/>
          <w:position w:val="0"/>
          <w:sz w:val="32"/>
          <w:szCs w:val="32"/>
          <w:lang w:bidi="ar-SA"/>
        </w:rPr>
        <w:t>CE、EMC、ROHS、PAHS、REACH、EC认证、美国UL、UPC、FDA、ETL、FCC、EPA、CPSC认证、美国药典认证USP、加拿大CSA、CETL认证、澳大利亚WATERMARK、TGA、SAA认证、RCM认证、欧洲药典适用性认证COS、德国GS、TUV认证、英国BSI、UKCA认证、海湾GCC认证、日本药品和医疗器械管理局认证PMDA、日本药物主文档认证JDMF、日本PSE认证、韩国KS认证、WHO</w:t>
      </w:r>
      <w:r>
        <w:rPr>
          <w:rFonts w:hint="default" w:ascii="Times New Roman" w:hAnsi="Times New Roman" w:eastAsia="方正仿宋_GBK" w:cs="Times New Roman"/>
          <w:color w:val="auto"/>
          <w:spacing w:val="0"/>
          <w:w w:val="100"/>
          <w:position w:val="0"/>
          <w:sz w:val="32"/>
          <w:szCs w:val="32"/>
          <w:lang w:val="en-US" w:eastAsia="zh-CN" w:bidi="ar-SA"/>
        </w:rPr>
        <w:t xml:space="preserve"> </w:t>
      </w:r>
      <w:r>
        <w:rPr>
          <w:rFonts w:hint="default" w:ascii="Times New Roman" w:hAnsi="Times New Roman" w:eastAsia="方正仿宋_GBK" w:cs="Times New Roman"/>
          <w:color w:val="auto"/>
          <w:spacing w:val="0"/>
          <w:w w:val="100"/>
          <w:position w:val="0"/>
          <w:sz w:val="32"/>
          <w:szCs w:val="32"/>
          <w:lang w:bidi="ar-SA"/>
        </w:rPr>
        <w:t>PQ认证、Halal认证、Kosher认证、IECEE</w:t>
      </w:r>
      <w:r>
        <w:rPr>
          <w:rFonts w:hint="default" w:ascii="Times New Roman" w:hAnsi="Times New Roman" w:eastAsia="方正仿宋_GBK" w:cs="Times New Roman"/>
          <w:color w:val="auto"/>
          <w:spacing w:val="0"/>
          <w:w w:val="100"/>
          <w:position w:val="0"/>
          <w:sz w:val="32"/>
          <w:szCs w:val="32"/>
          <w:lang w:val="en-US" w:eastAsia="zh-CN" w:bidi="ar-SA"/>
        </w:rPr>
        <w:t xml:space="preserve"> </w:t>
      </w:r>
      <w:r>
        <w:rPr>
          <w:rFonts w:hint="default" w:ascii="Times New Roman" w:hAnsi="Times New Roman" w:eastAsia="方正仿宋_GBK" w:cs="Times New Roman"/>
          <w:color w:val="auto"/>
          <w:spacing w:val="0"/>
          <w:w w:val="100"/>
          <w:position w:val="0"/>
          <w:sz w:val="32"/>
          <w:szCs w:val="32"/>
          <w:lang w:bidi="ar-SA"/>
        </w:rPr>
        <w:t>CB认证、BSCI认证、GRS认证、BV认证、SMETA</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SEDEX</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认证</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俄罗斯EAC认证、印度BIS认证、印尼SNI认证、巴西INMETRO认证，MPRII认证、WRAP认证、HIGG（WORLDLY）认证、沙特SABER认证、FSC森林认证。</w:t>
      </w:r>
    </w:p>
    <w:p w14:paraId="3ACB32F1">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通过一项认证</w:t>
      </w:r>
      <w:r>
        <w:rPr>
          <w:rFonts w:hint="default" w:ascii="Times New Roman" w:hAnsi="Times New Roman" w:eastAsia="方正仿宋_GBK" w:cs="Times New Roman"/>
          <w:color w:val="auto"/>
          <w:spacing w:val="0"/>
          <w:w w:val="100"/>
          <w:position w:val="0"/>
          <w:sz w:val="32"/>
          <w:szCs w:val="32"/>
          <w:lang w:eastAsia="zh-CN" w:bidi="ar-SA"/>
        </w:rPr>
        <w:t>计</w:t>
      </w:r>
      <w:r>
        <w:rPr>
          <w:rFonts w:hint="default" w:ascii="Times New Roman" w:hAnsi="Times New Roman" w:eastAsia="方正仿宋_GBK" w:cs="Times New Roman"/>
          <w:color w:val="auto"/>
          <w:spacing w:val="0"/>
          <w:w w:val="100"/>
          <w:position w:val="0"/>
          <w:sz w:val="32"/>
          <w:szCs w:val="32"/>
          <w:lang w:bidi="ar-SA"/>
        </w:rPr>
        <w:t>1分，同个产品或生产线通过多项认证累计不超过2分。</w:t>
      </w:r>
    </w:p>
    <w:p w14:paraId="17AD4326">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val="en-US" w:eastAsia="zh-CN" w:bidi="ar-SA"/>
        </w:rPr>
        <w:t>1个国际质量管理体系、环境管理体系认证或面向企业的行业认证，对应2个面向产品或生产线的行业认证进行计分。</w:t>
      </w:r>
      <w:r>
        <w:rPr>
          <w:rFonts w:hint="default" w:ascii="Times New Roman" w:hAnsi="Times New Roman" w:eastAsia="方正仿宋_GBK" w:cs="Times New Roman"/>
          <w:color w:val="auto"/>
          <w:spacing w:val="0"/>
          <w:w w:val="100"/>
          <w:position w:val="0"/>
          <w:sz w:val="32"/>
          <w:szCs w:val="32"/>
          <w:lang w:bidi="ar-SA"/>
        </w:rPr>
        <w:t>以上认证得分累计不超过10分。</w:t>
      </w:r>
    </w:p>
    <w:p w14:paraId="237076C6">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eastAsia="zh-CN" w:bidi="ar-SA"/>
        </w:rPr>
      </w:pPr>
      <w:r>
        <w:rPr>
          <w:rFonts w:hint="default" w:ascii="Times New Roman" w:hAnsi="Times New Roman" w:eastAsia="方正仿宋_GBK" w:cs="Times New Roman"/>
          <w:color w:val="auto"/>
          <w:spacing w:val="0"/>
          <w:w w:val="100"/>
          <w:position w:val="0"/>
          <w:sz w:val="32"/>
          <w:szCs w:val="32"/>
          <w:lang w:bidi="ar-SA"/>
        </w:rPr>
        <w:t>国际通行的质量管理体系、环境管理体系或行业认证的有效证书持有者须与展位申请企业一致，且覆盖产品应属于所申请展区规定的参展商品目录。企业应同时提供相关认证的中文译本</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未提供中文译本的不计分。</w:t>
      </w:r>
    </w:p>
    <w:p w14:paraId="1432CFD5">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黑体_GBK" w:cs="Times New Roman"/>
          <w:color w:val="auto"/>
          <w:spacing w:val="0"/>
          <w:w w:val="100"/>
          <w:position w:val="0"/>
          <w:sz w:val="32"/>
          <w:szCs w:val="32"/>
          <w:lang w:val="en-US" w:eastAsia="zh-CN" w:bidi="ar-SA"/>
        </w:rPr>
        <w:t>四、优质</w:t>
      </w:r>
      <w:r>
        <w:rPr>
          <w:rFonts w:hint="default" w:ascii="Times New Roman" w:hAnsi="Times New Roman" w:eastAsia="方正黑体_GBK" w:cs="Times New Roman"/>
          <w:color w:val="auto"/>
          <w:spacing w:val="0"/>
          <w:w w:val="100"/>
          <w:position w:val="0"/>
          <w:sz w:val="32"/>
          <w:szCs w:val="32"/>
          <w:lang w:bidi="ar-SA"/>
        </w:rPr>
        <w:t>企业（</w:t>
      </w:r>
      <w:r>
        <w:rPr>
          <w:rFonts w:hint="default" w:ascii="Times New Roman" w:hAnsi="Times New Roman" w:eastAsia="方正黑体_GBK" w:cs="Times New Roman"/>
          <w:color w:val="auto"/>
          <w:spacing w:val="0"/>
          <w:w w:val="100"/>
          <w:position w:val="0"/>
          <w:sz w:val="32"/>
          <w:szCs w:val="32"/>
          <w:lang w:val="en-US" w:eastAsia="zh-CN" w:bidi="ar-SA"/>
        </w:rPr>
        <w:t>10</w:t>
      </w:r>
      <w:r>
        <w:rPr>
          <w:rFonts w:hint="default" w:ascii="Times New Roman" w:hAnsi="Times New Roman" w:eastAsia="方正黑体_GBK" w:cs="Times New Roman"/>
          <w:color w:val="auto"/>
          <w:spacing w:val="0"/>
          <w:w w:val="100"/>
          <w:position w:val="0"/>
          <w:sz w:val="32"/>
          <w:szCs w:val="32"/>
          <w:lang w:bidi="ar-SA"/>
        </w:rPr>
        <w:t>分）</w:t>
      </w:r>
    </w:p>
    <w:p w14:paraId="2542A1E8">
      <w:pPr>
        <w:keepNext w:val="0"/>
        <w:keepLines w:val="0"/>
        <w:pageBreakBefore w:val="0"/>
        <w:widowControl w:val="0"/>
        <w:suppressLineNumbers w:val="0"/>
        <w:kinsoku/>
        <w:wordWrap/>
        <w:overflowPunct w:val="0"/>
        <w:topLinePunct w:val="0"/>
        <w:autoSpaceDE/>
        <w:autoSpaceDN/>
        <w:bidi w:val="0"/>
        <w:snapToGrid/>
        <w:spacing w:line="240" w:lineRule="auto"/>
        <w:ind w:left="0" w:right="0" w:firstLine="640" w:firstLineChars="200"/>
        <w:jc w:val="both"/>
        <w:outlineLvl w:val="9"/>
        <w:rPr>
          <w:rFonts w:hint="default" w:ascii="Times New Roman" w:hAnsi="Times New Roman" w:eastAsia="方正仿宋_GBK" w:cs="Times New Roman"/>
          <w:b/>
          <w:bCs/>
          <w:color w:val="auto"/>
          <w:spacing w:val="0"/>
          <w:w w:val="100"/>
          <w:position w:val="0"/>
          <w:sz w:val="32"/>
          <w:szCs w:val="32"/>
          <w:lang w:bidi="ar-SA"/>
        </w:rPr>
      </w:pPr>
      <w:r>
        <w:rPr>
          <w:rFonts w:hint="default" w:ascii="Times New Roman" w:hAnsi="Times New Roman" w:eastAsia="方正仿宋_GBK" w:cs="Times New Roman"/>
          <w:snapToGrid w:val="0"/>
          <w:color w:val="auto"/>
          <w:spacing w:val="0"/>
          <w:w w:val="100"/>
          <w:kern w:val="0"/>
          <w:position w:val="0"/>
          <w:sz w:val="32"/>
          <w:szCs w:val="32"/>
          <w:lang w:val="en-US" w:eastAsia="zh-CN" w:bidi="ar-SA"/>
        </w:rPr>
        <w:t>指获得中国海关高级认证企业，高新技术企业、制造业单项冠军企业/产品、专精特新“小巨人”企业、企业技术中心、技术创新示范企业称号的企业。其中获得国家级称号的，每项计3分；获得省级称号的，每项计2分，获得同一类型称号的以最高级别计算，此项总分10分。</w:t>
      </w:r>
    </w:p>
    <w:p w14:paraId="112C24AB">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黑体_GBK" w:cs="Times New Roman"/>
          <w:color w:val="auto"/>
          <w:spacing w:val="0"/>
          <w:w w:val="100"/>
          <w:position w:val="0"/>
          <w:sz w:val="32"/>
          <w:szCs w:val="32"/>
          <w:lang w:val="en-US" w:eastAsia="zh-CN" w:bidi="ar-SA"/>
        </w:rPr>
        <w:t>五、</w:t>
      </w:r>
      <w:r>
        <w:rPr>
          <w:rFonts w:hint="default" w:ascii="Times New Roman" w:hAnsi="Times New Roman" w:eastAsia="方正黑体_GBK" w:cs="Times New Roman"/>
          <w:color w:val="auto"/>
          <w:spacing w:val="0"/>
          <w:w w:val="100"/>
          <w:position w:val="0"/>
          <w:sz w:val="32"/>
          <w:szCs w:val="32"/>
          <w:lang w:bidi="ar-SA"/>
        </w:rPr>
        <w:t>研发创新（1</w:t>
      </w:r>
      <w:r>
        <w:rPr>
          <w:rFonts w:hint="default" w:ascii="Times New Roman" w:hAnsi="Times New Roman" w:eastAsia="方正黑体_GBK" w:cs="Times New Roman"/>
          <w:color w:val="auto"/>
          <w:spacing w:val="0"/>
          <w:w w:val="100"/>
          <w:position w:val="0"/>
          <w:sz w:val="32"/>
          <w:szCs w:val="32"/>
          <w:lang w:val="en-US" w:eastAsia="zh-CN" w:bidi="ar-SA"/>
        </w:rPr>
        <w:t>5</w:t>
      </w:r>
      <w:r>
        <w:rPr>
          <w:rFonts w:hint="default" w:ascii="Times New Roman" w:hAnsi="Times New Roman" w:eastAsia="方正黑体_GBK" w:cs="Times New Roman"/>
          <w:color w:val="auto"/>
          <w:spacing w:val="0"/>
          <w:w w:val="100"/>
          <w:position w:val="0"/>
          <w:sz w:val="32"/>
          <w:szCs w:val="32"/>
          <w:lang w:bidi="ar-SA"/>
        </w:rPr>
        <w:t>分）</w:t>
      </w:r>
    </w:p>
    <w:p w14:paraId="72B757A1">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一</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按照企业拥有的实用新型、发明专利或外观专利计算分值。专利权应在法定有效期内，专利证书中的专利权人应为展位申请企业或其法定代表人，专利产品应在所申请展区规定的参展商品目录范围内。每拥有一项发明专利计2分，每拥有一项实用新型专利计1分，外观专利每5项计1分，不足5项不计分。此项累计不超过</w:t>
      </w:r>
      <w:r>
        <w:rPr>
          <w:rFonts w:hint="default" w:ascii="Times New Roman" w:hAnsi="Times New Roman" w:eastAsia="方正仿宋_GBK" w:cs="Times New Roman"/>
          <w:color w:val="auto"/>
          <w:spacing w:val="0"/>
          <w:w w:val="100"/>
          <w:position w:val="0"/>
          <w:sz w:val="32"/>
          <w:szCs w:val="32"/>
          <w:lang w:val="en-US" w:eastAsia="zh-CN" w:bidi="ar-SA"/>
        </w:rPr>
        <w:t>5</w:t>
      </w:r>
      <w:r>
        <w:rPr>
          <w:rFonts w:hint="default" w:ascii="Times New Roman" w:hAnsi="Times New Roman" w:eastAsia="方正仿宋_GBK" w:cs="Times New Roman"/>
          <w:color w:val="auto"/>
          <w:spacing w:val="0"/>
          <w:w w:val="100"/>
          <w:position w:val="0"/>
          <w:sz w:val="32"/>
          <w:szCs w:val="32"/>
          <w:lang w:bidi="ar-SA"/>
        </w:rPr>
        <w:t>分。</w:t>
      </w:r>
    </w:p>
    <w:p w14:paraId="57672AAB">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二</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获得科学技术奖（包括同等级科技创新奖、技术创新奖等）、民营科技发展贡献奖、中国专利奖等，国家级奖项每项计3分，省级奖项每项计2分。此项累计不超过5分。</w:t>
      </w:r>
    </w:p>
    <w:p w14:paraId="25CD1022">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bidi="ar-SA"/>
        </w:rPr>
        <w:t>（三）每参与制定或修订一个产品（技术）的国家标准或行业标准的计3分，累计不超过5分。国家标准或行业标准制定和修订的证明必须由国家级相关机构提供。</w:t>
      </w:r>
    </w:p>
    <w:p w14:paraId="2F0F7ED0">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黑体_GBK" w:cs="Times New Roman"/>
          <w:color w:val="auto"/>
          <w:spacing w:val="0"/>
          <w:w w:val="100"/>
          <w:position w:val="0"/>
          <w:sz w:val="32"/>
          <w:szCs w:val="32"/>
          <w:lang w:bidi="ar-SA"/>
        </w:rPr>
      </w:pPr>
      <w:r>
        <w:rPr>
          <w:rFonts w:hint="default" w:ascii="Times New Roman" w:hAnsi="Times New Roman" w:eastAsia="方正黑体_GBK" w:cs="Times New Roman"/>
          <w:color w:val="auto"/>
          <w:spacing w:val="0"/>
          <w:w w:val="100"/>
          <w:position w:val="0"/>
          <w:sz w:val="32"/>
          <w:szCs w:val="32"/>
          <w:lang w:val="en-US" w:eastAsia="zh-CN" w:bidi="ar-SA"/>
        </w:rPr>
        <w:t>六、</w:t>
      </w:r>
      <w:r>
        <w:rPr>
          <w:rFonts w:hint="default" w:ascii="Times New Roman" w:hAnsi="Times New Roman" w:eastAsia="方正黑体_GBK" w:cs="Times New Roman"/>
          <w:color w:val="auto"/>
          <w:spacing w:val="0"/>
          <w:w w:val="100"/>
          <w:position w:val="0"/>
          <w:sz w:val="32"/>
          <w:szCs w:val="32"/>
          <w:lang w:bidi="ar-SA"/>
        </w:rPr>
        <w:t>境内外商标注册（</w:t>
      </w:r>
      <w:r>
        <w:rPr>
          <w:rFonts w:hint="default" w:ascii="Times New Roman" w:hAnsi="Times New Roman" w:eastAsia="方正黑体_GBK" w:cs="Times New Roman"/>
          <w:color w:val="auto"/>
          <w:spacing w:val="0"/>
          <w:w w:val="100"/>
          <w:position w:val="0"/>
          <w:sz w:val="32"/>
          <w:szCs w:val="32"/>
          <w:lang w:val="en-US" w:eastAsia="zh-CN" w:bidi="ar-SA"/>
        </w:rPr>
        <w:t>5</w:t>
      </w:r>
      <w:r>
        <w:rPr>
          <w:rFonts w:hint="default" w:ascii="Times New Roman" w:hAnsi="Times New Roman" w:eastAsia="方正黑体_GBK" w:cs="Times New Roman"/>
          <w:color w:val="auto"/>
          <w:spacing w:val="0"/>
          <w:w w:val="100"/>
          <w:position w:val="0"/>
          <w:sz w:val="32"/>
          <w:szCs w:val="32"/>
          <w:lang w:bidi="ar-SA"/>
        </w:rPr>
        <w:t>分）</w:t>
      </w:r>
    </w:p>
    <w:p w14:paraId="3A0EAEAE">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持有境内注册商标的计1分。境外商标在一个国家（地区）注册（包括注册多个）计1分，每增加一个国家（地区）计1分。获得欧共体市场协调局（OHIM）、欧盟知识产权局（EUIPO）、非盟（OAPI）注册的有效商标，计5分。获得</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马德里协定</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国际注册的（简称</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WIPO</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或</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OMPI</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）以协定国数量计分。在</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比荷卢</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（Benelux）商标联盟注册的，计3分。此项累计不超过</w:t>
      </w:r>
      <w:r>
        <w:rPr>
          <w:rFonts w:hint="default" w:ascii="Times New Roman" w:hAnsi="Times New Roman" w:eastAsia="方正仿宋_GBK" w:cs="Times New Roman"/>
          <w:color w:val="auto"/>
          <w:spacing w:val="0"/>
          <w:w w:val="100"/>
          <w:position w:val="0"/>
          <w:sz w:val="32"/>
          <w:szCs w:val="32"/>
          <w:lang w:val="en-US" w:eastAsia="zh-CN" w:bidi="ar-SA"/>
        </w:rPr>
        <w:t>5</w:t>
      </w:r>
      <w:r>
        <w:rPr>
          <w:rFonts w:hint="default" w:ascii="Times New Roman" w:hAnsi="Times New Roman" w:eastAsia="方正仿宋_GBK" w:cs="Times New Roman"/>
          <w:color w:val="auto"/>
          <w:spacing w:val="0"/>
          <w:w w:val="100"/>
          <w:position w:val="0"/>
          <w:sz w:val="32"/>
          <w:szCs w:val="32"/>
          <w:lang w:bidi="ar-SA"/>
        </w:rPr>
        <w:t>分。</w:t>
      </w:r>
    </w:p>
    <w:p w14:paraId="48C17D35">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eastAsia="zh-CN" w:bidi="ar-SA"/>
        </w:rPr>
      </w:pPr>
      <w:r>
        <w:rPr>
          <w:rFonts w:hint="default" w:ascii="Times New Roman" w:hAnsi="Times New Roman" w:eastAsia="方正仿宋_GBK" w:cs="Times New Roman"/>
          <w:color w:val="auto"/>
          <w:spacing w:val="0"/>
          <w:w w:val="100"/>
          <w:position w:val="0"/>
          <w:sz w:val="32"/>
          <w:szCs w:val="32"/>
          <w:lang w:bidi="ar-SA"/>
        </w:rPr>
        <w:t>商标持有者须与展位申请企业一致，商标覆盖的产品应属于所申请展区规定的参展商品目录。企业提交海外市场注册商标证，除台湾、香港和澳门三地的以外，其他非中文国家和地区的注册商标证书应同时提供中文译本</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未提供中文译本不计分。</w:t>
      </w:r>
    </w:p>
    <w:p w14:paraId="2CED821F">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黑体_GBK" w:cs="Times New Roman"/>
          <w:color w:val="auto"/>
          <w:spacing w:val="0"/>
          <w:w w:val="100"/>
          <w:position w:val="0"/>
          <w:sz w:val="32"/>
          <w:szCs w:val="32"/>
          <w:lang w:bidi="ar-SA"/>
        </w:rPr>
      </w:pPr>
      <w:r>
        <w:rPr>
          <w:rFonts w:hint="default" w:ascii="Times New Roman" w:hAnsi="Times New Roman" w:eastAsia="方正黑体_GBK" w:cs="Times New Roman"/>
          <w:color w:val="auto"/>
          <w:spacing w:val="0"/>
          <w:w w:val="100"/>
          <w:position w:val="0"/>
          <w:sz w:val="32"/>
          <w:szCs w:val="32"/>
          <w:lang w:val="en-US" w:eastAsia="zh-CN" w:bidi="ar-SA"/>
        </w:rPr>
        <w:t>七、</w:t>
      </w:r>
      <w:r>
        <w:rPr>
          <w:rFonts w:hint="default" w:ascii="Times New Roman" w:hAnsi="Times New Roman" w:eastAsia="方正黑体_GBK" w:cs="Times New Roman"/>
          <w:color w:val="auto"/>
          <w:spacing w:val="0"/>
          <w:w w:val="100"/>
          <w:position w:val="0"/>
          <w:sz w:val="32"/>
          <w:szCs w:val="32"/>
          <w:lang w:bidi="ar-SA"/>
        </w:rPr>
        <w:t>品牌</w:t>
      </w:r>
      <w:r>
        <w:rPr>
          <w:rFonts w:hint="default" w:ascii="Times New Roman" w:hAnsi="Times New Roman" w:eastAsia="方正黑体_GBK" w:cs="Times New Roman"/>
          <w:color w:val="auto"/>
          <w:spacing w:val="0"/>
          <w:w w:val="100"/>
          <w:position w:val="0"/>
          <w:sz w:val="32"/>
          <w:szCs w:val="32"/>
          <w:lang w:val="en-US" w:eastAsia="zh-CN" w:bidi="ar-SA"/>
        </w:rPr>
        <w:t>建设与参展表现</w:t>
      </w:r>
      <w:r>
        <w:rPr>
          <w:rFonts w:hint="default" w:ascii="Times New Roman" w:hAnsi="Times New Roman" w:eastAsia="方正黑体_GBK" w:cs="Times New Roman"/>
          <w:color w:val="auto"/>
          <w:spacing w:val="0"/>
          <w:w w:val="100"/>
          <w:position w:val="0"/>
          <w:sz w:val="32"/>
          <w:szCs w:val="32"/>
          <w:lang w:bidi="ar-SA"/>
        </w:rPr>
        <w:t>（</w:t>
      </w:r>
      <w:r>
        <w:rPr>
          <w:rFonts w:hint="default" w:ascii="Times New Roman" w:hAnsi="Times New Roman" w:eastAsia="方正黑体_GBK" w:cs="Times New Roman"/>
          <w:color w:val="auto"/>
          <w:spacing w:val="0"/>
          <w:w w:val="100"/>
          <w:position w:val="0"/>
          <w:sz w:val="32"/>
          <w:szCs w:val="32"/>
          <w:lang w:val="en-US" w:eastAsia="zh-CN" w:bidi="ar-SA"/>
        </w:rPr>
        <w:t>10</w:t>
      </w:r>
      <w:r>
        <w:rPr>
          <w:rFonts w:hint="default" w:ascii="Times New Roman" w:hAnsi="Times New Roman" w:eastAsia="方正黑体_GBK" w:cs="Times New Roman"/>
          <w:color w:val="auto"/>
          <w:spacing w:val="0"/>
          <w:w w:val="100"/>
          <w:position w:val="0"/>
          <w:sz w:val="32"/>
          <w:szCs w:val="32"/>
          <w:lang w:bidi="ar-SA"/>
        </w:rPr>
        <w:t>分）</w:t>
      </w:r>
    </w:p>
    <w:p w14:paraId="5F50E71F">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一</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企业进入商务部认定的国家外贸转型升级基地且主营业务与该基地特色产业一致的，由所在区县商务委出具证明，计3分。</w:t>
      </w:r>
    </w:p>
    <w:p w14:paraId="2512FAEC">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bidi="ar-SA"/>
        </w:rPr>
        <w:t>（二）参加商务部或重庆市商务委员会组织或支持的境外展，每个展计1分，此项累计不超过3分。</w:t>
      </w:r>
    </w:p>
    <w:p w14:paraId="1F4091C9">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bidi="ar-SA"/>
        </w:rPr>
        <w:t>（三）参展表现</w:t>
      </w:r>
    </w:p>
    <w:p w14:paraId="572B2FAC">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val="en-US" w:eastAsia="zh-CN" w:bidi="ar-SA"/>
        </w:rPr>
        <w:t xml:space="preserve">1. </w:t>
      </w:r>
      <w:r>
        <w:rPr>
          <w:rFonts w:hint="default" w:ascii="Times New Roman" w:hAnsi="Times New Roman" w:eastAsia="方正仿宋_GBK" w:cs="Times New Roman"/>
          <w:color w:val="auto"/>
          <w:spacing w:val="0"/>
          <w:w w:val="100"/>
          <w:position w:val="0"/>
          <w:sz w:val="32"/>
          <w:szCs w:val="32"/>
          <w:lang w:bidi="ar-SA"/>
        </w:rPr>
        <w:t>自上次展位评审以来，在广交会设计创新奖（CF奖）中每获奖1次，相应展区</w:t>
      </w:r>
      <w:r>
        <w:rPr>
          <w:rFonts w:hint="default" w:ascii="Times New Roman" w:hAnsi="Times New Roman" w:eastAsia="方正仿宋_GBK" w:cs="Times New Roman"/>
          <w:color w:val="auto"/>
          <w:spacing w:val="0"/>
          <w:w w:val="100"/>
          <w:position w:val="0"/>
          <w:sz w:val="32"/>
          <w:szCs w:val="32"/>
          <w:lang w:eastAsia="zh-CN" w:bidi="ar-SA"/>
        </w:rPr>
        <w:t>计</w:t>
      </w:r>
      <w:r>
        <w:rPr>
          <w:rFonts w:hint="default" w:ascii="Times New Roman" w:hAnsi="Times New Roman" w:eastAsia="方正仿宋_GBK" w:cs="Times New Roman"/>
          <w:color w:val="auto"/>
          <w:spacing w:val="0"/>
          <w:w w:val="100"/>
          <w:position w:val="0"/>
          <w:sz w:val="32"/>
          <w:szCs w:val="32"/>
          <w:lang w:bidi="ar-SA"/>
        </w:rPr>
        <w:t>1分。</w:t>
      </w:r>
    </w:p>
    <w:p w14:paraId="0939A81D">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val="en-US" w:eastAsia="zh-CN" w:bidi="ar-SA"/>
        </w:rPr>
        <w:t xml:space="preserve">2. </w:t>
      </w:r>
      <w:r>
        <w:rPr>
          <w:rFonts w:hint="default" w:ascii="Times New Roman" w:hAnsi="Times New Roman" w:eastAsia="方正仿宋_GBK" w:cs="Times New Roman"/>
          <w:color w:val="auto"/>
          <w:spacing w:val="0"/>
          <w:w w:val="100"/>
          <w:position w:val="0"/>
          <w:sz w:val="32"/>
          <w:szCs w:val="32"/>
          <w:lang w:bidi="ar-SA"/>
        </w:rPr>
        <w:t>自上次展位评审以来，每获广交会绿色特装奖或广交会绿色展位奖1次，相应展区</w:t>
      </w:r>
      <w:r>
        <w:rPr>
          <w:rFonts w:hint="default" w:ascii="Times New Roman" w:hAnsi="Times New Roman" w:eastAsia="方正仿宋_GBK" w:cs="Times New Roman"/>
          <w:color w:val="auto"/>
          <w:spacing w:val="0"/>
          <w:w w:val="100"/>
          <w:position w:val="0"/>
          <w:sz w:val="32"/>
          <w:szCs w:val="32"/>
          <w:lang w:eastAsia="zh-CN" w:bidi="ar-SA"/>
        </w:rPr>
        <w:t>计</w:t>
      </w:r>
      <w:r>
        <w:rPr>
          <w:rFonts w:hint="default" w:ascii="Times New Roman" w:hAnsi="Times New Roman" w:eastAsia="方正仿宋_GBK" w:cs="Times New Roman"/>
          <w:color w:val="auto"/>
          <w:spacing w:val="0"/>
          <w:w w:val="100"/>
          <w:position w:val="0"/>
          <w:sz w:val="32"/>
          <w:szCs w:val="32"/>
          <w:lang w:bidi="ar-SA"/>
        </w:rPr>
        <w:t>1分。</w:t>
      </w:r>
    </w:p>
    <w:p w14:paraId="5AC5E9B5">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bidi="ar-SA"/>
        </w:rPr>
        <w:t>3. 最近一届广交会展位采用绿色模块化搭建，相应展区计1分；</w:t>
      </w:r>
    </w:p>
    <w:p w14:paraId="143FC59B">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bidi="ar-SA"/>
        </w:rPr>
        <w:t>4. 获评广交会参展商邀请采购商参会活动（i邀请）奖，计1分。如申报多个展区展位的，可自行选择其中一个展区进行加分。</w:t>
      </w:r>
    </w:p>
    <w:p w14:paraId="27B7D848">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bidi="ar-SA"/>
        </w:rPr>
        <w:t>此项累计不超过4分。</w:t>
      </w:r>
    </w:p>
    <w:p w14:paraId="3369D52B">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黑体_GBK" w:cs="Times New Roman"/>
          <w:color w:val="auto"/>
          <w:spacing w:val="0"/>
          <w:w w:val="100"/>
          <w:position w:val="0"/>
          <w:sz w:val="32"/>
          <w:szCs w:val="32"/>
          <w:lang w:eastAsia="zh-CN" w:bidi="ar-SA"/>
        </w:rPr>
      </w:pPr>
      <w:r>
        <w:rPr>
          <w:rFonts w:hint="default" w:ascii="Times New Roman" w:hAnsi="Times New Roman" w:eastAsia="方正黑体_GBK" w:cs="Times New Roman"/>
          <w:color w:val="auto"/>
          <w:spacing w:val="0"/>
          <w:w w:val="100"/>
          <w:position w:val="0"/>
          <w:sz w:val="32"/>
          <w:szCs w:val="32"/>
          <w:lang w:val="en-US" w:eastAsia="zh-CN" w:bidi="ar-SA"/>
        </w:rPr>
        <w:t>八、其他（15分）</w:t>
      </w:r>
    </w:p>
    <w:p w14:paraId="583198C5">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一</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凡申请我市摩托车、汽车、汽车配件、五金、工具、动力、电力设备、农业机械、工程机械、通用机械及机械基础件展区一般性展位的生产型非流通企业计</w:t>
      </w:r>
      <w:r>
        <w:rPr>
          <w:rFonts w:hint="default" w:ascii="Times New Roman" w:hAnsi="Times New Roman" w:eastAsia="方正仿宋_GBK" w:cs="Times New Roman"/>
          <w:color w:val="auto"/>
          <w:spacing w:val="0"/>
          <w:w w:val="100"/>
          <w:position w:val="0"/>
          <w:sz w:val="32"/>
          <w:szCs w:val="32"/>
          <w:lang w:val="en-US" w:eastAsia="zh-CN" w:bidi="ar-SA"/>
        </w:rPr>
        <w:t>2</w:t>
      </w:r>
      <w:r>
        <w:rPr>
          <w:rFonts w:hint="default" w:ascii="Times New Roman" w:hAnsi="Times New Roman" w:eastAsia="方正仿宋_GBK" w:cs="Times New Roman"/>
          <w:color w:val="auto"/>
          <w:spacing w:val="0"/>
          <w:w w:val="100"/>
          <w:position w:val="0"/>
          <w:sz w:val="32"/>
          <w:szCs w:val="32"/>
          <w:lang w:bidi="ar-SA"/>
        </w:rPr>
        <w:t>分，流通型贸易企业不计分。企业需提供生产许可证和承诺书。若无生产许可证，需提供相应证明。其余展区不计分。</w:t>
      </w:r>
    </w:p>
    <w:p w14:paraId="4A9AF6A0">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b/>
          <w:bCs/>
          <w:color w:val="auto"/>
          <w:spacing w:val="0"/>
          <w:w w:val="100"/>
          <w:position w:val="0"/>
          <w:sz w:val="32"/>
          <w:szCs w:val="32"/>
          <w:lang w:eastAsia="zh-CN" w:bidi="ar-SA"/>
        </w:rPr>
      </w:pPr>
      <w:r>
        <w:rPr>
          <w:rFonts w:hint="default" w:ascii="Times New Roman" w:hAnsi="Times New Roman" w:eastAsia="方正仿宋_GBK" w:cs="Times New Roman"/>
          <w:color w:val="auto"/>
          <w:spacing w:val="0"/>
          <w:w w:val="100"/>
          <w:position w:val="0"/>
          <w:sz w:val="32"/>
          <w:szCs w:val="32"/>
          <w:lang w:bidi="ar-SA"/>
        </w:rPr>
        <w:t>（</w:t>
      </w:r>
      <w:r>
        <w:rPr>
          <w:rFonts w:hint="default" w:ascii="Times New Roman" w:hAnsi="Times New Roman" w:eastAsia="方正仿宋_GBK" w:cs="Times New Roman"/>
          <w:color w:val="auto"/>
          <w:spacing w:val="0"/>
          <w:w w:val="100"/>
          <w:position w:val="0"/>
          <w:sz w:val="32"/>
          <w:szCs w:val="32"/>
          <w:lang w:val="en-US" w:eastAsia="zh-CN" w:bidi="ar-SA"/>
        </w:rPr>
        <w:t>二</w:t>
      </w:r>
      <w:r>
        <w:rPr>
          <w:rFonts w:hint="default" w:ascii="Times New Roman" w:hAnsi="Times New Roman" w:eastAsia="方正仿宋_GBK" w:cs="Times New Roman"/>
          <w:color w:val="auto"/>
          <w:spacing w:val="0"/>
          <w:w w:val="100"/>
          <w:position w:val="0"/>
          <w:sz w:val="32"/>
          <w:szCs w:val="32"/>
          <w:lang w:bidi="ar-SA"/>
        </w:rPr>
        <w:t>）获得国家级、</w:t>
      </w:r>
      <w:r>
        <w:rPr>
          <w:rFonts w:hint="default" w:ascii="Times New Roman" w:hAnsi="Times New Roman" w:eastAsia="方正仿宋_GBK" w:cs="Times New Roman"/>
          <w:color w:val="auto"/>
          <w:spacing w:val="0"/>
          <w:w w:val="100"/>
          <w:position w:val="0"/>
          <w:sz w:val="32"/>
          <w:szCs w:val="32"/>
          <w:lang w:val="en-US" w:eastAsia="zh-CN" w:bidi="ar-SA"/>
        </w:rPr>
        <w:t>省</w:t>
      </w:r>
      <w:r>
        <w:rPr>
          <w:rFonts w:hint="default" w:ascii="Times New Roman" w:hAnsi="Times New Roman" w:eastAsia="方正仿宋_GBK" w:cs="Times New Roman"/>
          <w:color w:val="auto"/>
          <w:spacing w:val="0"/>
          <w:w w:val="100"/>
          <w:position w:val="0"/>
          <w:sz w:val="32"/>
          <w:szCs w:val="32"/>
          <w:lang w:bidi="ar-SA"/>
        </w:rPr>
        <w:t>级出口名牌、名牌产品、驰名商标、著名商标称号的，每项计</w:t>
      </w:r>
      <w:r>
        <w:rPr>
          <w:rFonts w:hint="default" w:ascii="Times New Roman" w:hAnsi="Times New Roman" w:eastAsia="方正仿宋_GBK" w:cs="Times New Roman"/>
          <w:color w:val="auto"/>
          <w:spacing w:val="0"/>
          <w:w w:val="100"/>
          <w:position w:val="0"/>
          <w:sz w:val="32"/>
          <w:szCs w:val="32"/>
          <w:lang w:val="en-US" w:eastAsia="zh-CN" w:bidi="ar-SA"/>
        </w:rPr>
        <w:t>1</w:t>
      </w:r>
      <w:r>
        <w:rPr>
          <w:rFonts w:hint="default" w:ascii="Times New Roman" w:hAnsi="Times New Roman" w:eastAsia="方正仿宋_GBK" w:cs="Times New Roman"/>
          <w:color w:val="auto"/>
          <w:spacing w:val="0"/>
          <w:w w:val="100"/>
          <w:position w:val="0"/>
          <w:sz w:val="32"/>
          <w:szCs w:val="32"/>
          <w:lang w:bidi="ar-SA"/>
        </w:rPr>
        <w:t>分。品牌荣誉持有者须与展位申请企业一致，证书覆盖产品应属于所申请展区规定的参展商品目录。此项累计不超过</w:t>
      </w:r>
      <w:r>
        <w:rPr>
          <w:rFonts w:hint="default" w:ascii="Times New Roman" w:hAnsi="Times New Roman" w:eastAsia="方正仿宋_GBK" w:cs="Times New Roman"/>
          <w:color w:val="auto"/>
          <w:spacing w:val="0"/>
          <w:w w:val="100"/>
          <w:position w:val="0"/>
          <w:sz w:val="32"/>
          <w:szCs w:val="32"/>
          <w:lang w:val="en-US" w:eastAsia="zh-CN" w:bidi="ar-SA"/>
        </w:rPr>
        <w:t>2</w:t>
      </w:r>
      <w:r>
        <w:rPr>
          <w:rFonts w:hint="default" w:ascii="Times New Roman" w:hAnsi="Times New Roman" w:eastAsia="方正仿宋_GBK" w:cs="Times New Roman"/>
          <w:color w:val="auto"/>
          <w:spacing w:val="0"/>
          <w:w w:val="100"/>
          <w:position w:val="0"/>
          <w:sz w:val="32"/>
          <w:szCs w:val="32"/>
          <w:lang w:bidi="ar-SA"/>
        </w:rPr>
        <w:t>分</w:t>
      </w:r>
      <w:r>
        <w:rPr>
          <w:rFonts w:hint="default" w:ascii="Times New Roman" w:hAnsi="Times New Roman" w:eastAsia="方正仿宋_GBK" w:cs="Times New Roman"/>
          <w:color w:val="auto"/>
          <w:spacing w:val="0"/>
          <w:w w:val="100"/>
          <w:position w:val="0"/>
          <w:sz w:val="32"/>
          <w:szCs w:val="32"/>
          <w:lang w:eastAsia="zh-CN" w:bidi="ar-SA"/>
        </w:rPr>
        <w:t>。</w:t>
      </w:r>
    </w:p>
    <w:p w14:paraId="6231237B">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三</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获得商务部内外贸一体化“领跑者”企业或重庆市内外贸一体化“排头兵”企业称号的分别计3分和2分，如两者都获得以最高级别计分。</w:t>
      </w:r>
    </w:p>
    <w:p w14:paraId="5E10F651">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四</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自上次展位评审以来</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展期内按时报送成交统计</w:t>
      </w:r>
      <w:r>
        <w:rPr>
          <w:rFonts w:hint="default" w:ascii="Times New Roman" w:hAnsi="Times New Roman" w:eastAsia="方正仿宋_GBK" w:cs="Times New Roman"/>
          <w:color w:val="auto"/>
          <w:spacing w:val="0"/>
          <w:w w:val="100"/>
          <w:position w:val="0"/>
          <w:sz w:val="32"/>
          <w:szCs w:val="32"/>
          <w:lang w:val="en-US" w:eastAsia="zh-CN" w:bidi="ar-SA"/>
        </w:rPr>
        <w:t>的企业</w:t>
      </w:r>
      <w:r>
        <w:rPr>
          <w:rFonts w:hint="default" w:ascii="Times New Roman" w:hAnsi="Times New Roman" w:eastAsia="方正仿宋_GBK" w:cs="Times New Roman"/>
          <w:color w:val="auto"/>
          <w:spacing w:val="0"/>
          <w:w w:val="100"/>
          <w:position w:val="0"/>
          <w:sz w:val="32"/>
          <w:szCs w:val="32"/>
          <w:lang w:bidi="ar-SA"/>
        </w:rPr>
        <w:t>，</w:t>
      </w:r>
      <w:r>
        <w:rPr>
          <w:rFonts w:hint="default" w:ascii="Times New Roman" w:hAnsi="Times New Roman" w:eastAsia="方正仿宋_GBK" w:cs="Times New Roman"/>
          <w:color w:val="auto"/>
          <w:spacing w:val="0"/>
          <w:w w:val="100"/>
          <w:position w:val="0"/>
          <w:sz w:val="32"/>
          <w:szCs w:val="32"/>
          <w:lang w:val="en-US" w:eastAsia="zh-CN" w:bidi="ar-SA"/>
        </w:rPr>
        <w:t>每次计1</w:t>
      </w:r>
      <w:r>
        <w:rPr>
          <w:rFonts w:hint="default" w:ascii="Times New Roman" w:hAnsi="Times New Roman" w:eastAsia="方正仿宋_GBK" w:cs="Times New Roman"/>
          <w:color w:val="auto"/>
          <w:spacing w:val="0"/>
          <w:w w:val="100"/>
          <w:position w:val="0"/>
          <w:sz w:val="32"/>
          <w:szCs w:val="32"/>
          <w:lang w:bidi="ar-SA"/>
        </w:rPr>
        <w:t>分</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共</w:t>
      </w:r>
      <w:r>
        <w:rPr>
          <w:rFonts w:hint="default" w:ascii="Times New Roman" w:hAnsi="Times New Roman" w:eastAsia="方正仿宋_GBK" w:cs="Times New Roman"/>
          <w:color w:val="auto"/>
          <w:spacing w:val="0"/>
          <w:w w:val="100"/>
          <w:position w:val="0"/>
          <w:sz w:val="32"/>
          <w:szCs w:val="32"/>
          <w:lang w:bidi="ar-SA"/>
        </w:rPr>
        <w:t>计</w:t>
      </w:r>
      <w:r>
        <w:rPr>
          <w:rFonts w:hint="default" w:ascii="Times New Roman" w:hAnsi="Times New Roman" w:eastAsia="方正仿宋_GBK" w:cs="Times New Roman"/>
          <w:color w:val="auto"/>
          <w:spacing w:val="0"/>
          <w:w w:val="100"/>
          <w:position w:val="0"/>
          <w:sz w:val="32"/>
          <w:szCs w:val="32"/>
          <w:lang w:val="en-US" w:eastAsia="zh-CN" w:bidi="ar-SA"/>
        </w:rPr>
        <w:t>2</w:t>
      </w:r>
      <w:r>
        <w:rPr>
          <w:rFonts w:hint="default" w:ascii="Times New Roman" w:hAnsi="Times New Roman" w:eastAsia="方正仿宋_GBK" w:cs="Times New Roman"/>
          <w:color w:val="auto"/>
          <w:spacing w:val="0"/>
          <w:w w:val="100"/>
          <w:position w:val="0"/>
          <w:sz w:val="32"/>
          <w:szCs w:val="32"/>
          <w:lang w:bidi="ar-SA"/>
        </w:rPr>
        <w:t>分。</w:t>
      </w:r>
    </w:p>
    <w:p w14:paraId="5B0A06C6">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w:t>
      </w:r>
      <w:r>
        <w:rPr>
          <w:rFonts w:hint="default" w:ascii="Times New Roman" w:hAnsi="Times New Roman" w:eastAsia="方正仿宋_GBK" w:cs="Times New Roman"/>
          <w:color w:val="auto"/>
          <w:spacing w:val="0"/>
          <w:w w:val="100"/>
          <w:position w:val="0"/>
          <w:sz w:val="32"/>
          <w:szCs w:val="32"/>
          <w:lang w:val="en-US" w:eastAsia="zh-CN" w:bidi="ar-SA"/>
        </w:rPr>
        <w:t>五</w:t>
      </w:r>
      <w:r>
        <w:rPr>
          <w:rFonts w:hint="default" w:ascii="Times New Roman" w:hAnsi="Times New Roman" w:eastAsia="方正仿宋_GBK" w:cs="Times New Roman"/>
          <w:color w:val="auto"/>
          <w:spacing w:val="0"/>
          <w:w w:val="100"/>
          <w:position w:val="0"/>
          <w:sz w:val="32"/>
          <w:szCs w:val="32"/>
          <w:lang w:bidi="ar-SA"/>
        </w:rPr>
        <w:t>）按时完成商务部、</w:t>
      </w:r>
      <w:r>
        <w:rPr>
          <w:rFonts w:hint="default" w:ascii="Times New Roman" w:hAnsi="Times New Roman" w:eastAsia="方正仿宋_GBK" w:cs="Times New Roman"/>
          <w:color w:val="auto"/>
          <w:spacing w:val="0"/>
          <w:w w:val="100"/>
          <w:position w:val="0"/>
          <w:sz w:val="32"/>
          <w:szCs w:val="32"/>
          <w:lang w:eastAsia="zh-CN" w:bidi="ar-SA"/>
        </w:rPr>
        <w:t>重庆</w:t>
      </w:r>
      <w:r>
        <w:rPr>
          <w:rFonts w:hint="default" w:ascii="Times New Roman" w:hAnsi="Times New Roman" w:eastAsia="方正仿宋_GBK" w:cs="Times New Roman"/>
          <w:color w:val="auto"/>
          <w:spacing w:val="0"/>
          <w:w w:val="100"/>
          <w:position w:val="0"/>
          <w:sz w:val="32"/>
          <w:szCs w:val="32"/>
          <w:lang w:bidi="ar-SA"/>
        </w:rPr>
        <w:t>市商务委</w:t>
      </w:r>
      <w:r>
        <w:rPr>
          <w:rFonts w:hint="default" w:ascii="Times New Roman" w:hAnsi="Times New Roman" w:eastAsia="方正仿宋_GBK" w:cs="Times New Roman"/>
          <w:color w:val="auto"/>
          <w:spacing w:val="0"/>
          <w:w w:val="100"/>
          <w:position w:val="0"/>
          <w:sz w:val="32"/>
          <w:szCs w:val="32"/>
          <w:lang w:eastAsia="zh-CN" w:bidi="ar-SA"/>
        </w:rPr>
        <w:t>员会</w:t>
      </w:r>
      <w:r>
        <w:rPr>
          <w:rFonts w:hint="default" w:ascii="Times New Roman" w:hAnsi="Times New Roman" w:eastAsia="方正仿宋_GBK" w:cs="Times New Roman"/>
          <w:color w:val="auto"/>
          <w:spacing w:val="0"/>
          <w:w w:val="100"/>
          <w:position w:val="0"/>
          <w:sz w:val="32"/>
          <w:szCs w:val="32"/>
          <w:lang w:bidi="ar-SA"/>
        </w:rPr>
        <w:t>、外贸中心相关问卷调查</w:t>
      </w:r>
      <w:r>
        <w:rPr>
          <w:rFonts w:hint="default" w:ascii="Times New Roman" w:hAnsi="Times New Roman" w:eastAsia="方正仿宋_GBK" w:cs="Times New Roman"/>
          <w:color w:val="auto"/>
          <w:spacing w:val="0"/>
          <w:w w:val="100"/>
          <w:position w:val="0"/>
          <w:sz w:val="32"/>
          <w:szCs w:val="32"/>
          <w:lang w:eastAsia="zh-CN" w:bidi="ar-SA"/>
        </w:rPr>
        <w:t>的</w:t>
      </w:r>
      <w:r>
        <w:rPr>
          <w:rFonts w:hint="default" w:ascii="Times New Roman" w:hAnsi="Times New Roman" w:eastAsia="方正仿宋_GBK" w:cs="Times New Roman"/>
          <w:color w:val="auto"/>
          <w:spacing w:val="0"/>
          <w:w w:val="100"/>
          <w:position w:val="0"/>
          <w:sz w:val="32"/>
          <w:szCs w:val="32"/>
          <w:lang w:bidi="ar-SA"/>
        </w:rPr>
        <w:t>，</w:t>
      </w:r>
      <w:r>
        <w:rPr>
          <w:rFonts w:hint="default" w:ascii="Times New Roman" w:hAnsi="Times New Roman" w:eastAsia="方正仿宋_GBK" w:cs="Times New Roman"/>
          <w:color w:val="auto"/>
          <w:spacing w:val="0"/>
          <w:w w:val="100"/>
          <w:position w:val="0"/>
          <w:sz w:val="32"/>
          <w:szCs w:val="32"/>
          <w:lang w:val="en-US" w:eastAsia="zh-CN" w:bidi="ar-SA"/>
        </w:rPr>
        <w:t>每次加0.5</w:t>
      </w:r>
      <w:r>
        <w:rPr>
          <w:rFonts w:hint="default" w:ascii="Times New Roman" w:hAnsi="Times New Roman" w:eastAsia="方正仿宋_GBK" w:cs="Times New Roman"/>
          <w:color w:val="auto"/>
          <w:spacing w:val="0"/>
          <w:w w:val="100"/>
          <w:position w:val="0"/>
          <w:sz w:val="32"/>
          <w:szCs w:val="32"/>
          <w:lang w:bidi="ar-SA"/>
        </w:rPr>
        <w:t>分</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共</w:t>
      </w:r>
      <w:r>
        <w:rPr>
          <w:rFonts w:hint="default" w:ascii="Times New Roman" w:hAnsi="Times New Roman" w:eastAsia="方正仿宋_GBK" w:cs="Times New Roman"/>
          <w:color w:val="auto"/>
          <w:spacing w:val="0"/>
          <w:w w:val="100"/>
          <w:position w:val="0"/>
          <w:sz w:val="32"/>
          <w:szCs w:val="32"/>
          <w:lang w:bidi="ar-SA"/>
        </w:rPr>
        <w:t>计</w:t>
      </w:r>
      <w:r>
        <w:rPr>
          <w:rFonts w:hint="default" w:ascii="Times New Roman" w:hAnsi="Times New Roman" w:eastAsia="方正仿宋_GBK" w:cs="Times New Roman"/>
          <w:color w:val="auto"/>
          <w:spacing w:val="0"/>
          <w:w w:val="100"/>
          <w:position w:val="0"/>
          <w:sz w:val="32"/>
          <w:szCs w:val="32"/>
          <w:lang w:val="en-US" w:eastAsia="zh-CN" w:bidi="ar-SA"/>
        </w:rPr>
        <w:t>2</w:t>
      </w:r>
      <w:r>
        <w:rPr>
          <w:rFonts w:hint="default" w:ascii="Times New Roman" w:hAnsi="Times New Roman" w:eastAsia="方正仿宋_GBK" w:cs="Times New Roman"/>
          <w:color w:val="auto"/>
          <w:spacing w:val="0"/>
          <w:w w:val="100"/>
          <w:position w:val="0"/>
          <w:sz w:val="32"/>
          <w:szCs w:val="32"/>
          <w:lang w:bidi="ar-SA"/>
        </w:rPr>
        <w:t>分。</w:t>
      </w:r>
    </w:p>
    <w:p w14:paraId="5A15F376">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highlight w:val="yellow"/>
          <w:lang w:eastAsia="zh-CN"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六</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其它</w:t>
      </w:r>
      <w:r>
        <w:rPr>
          <w:rFonts w:hint="default" w:ascii="Times New Roman" w:hAnsi="Times New Roman" w:eastAsia="方正仿宋_GBK" w:cs="Times New Roman"/>
          <w:color w:val="auto"/>
          <w:spacing w:val="0"/>
          <w:w w:val="100"/>
          <w:position w:val="0"/>
          <w:sz w:val="32"/>
          <w:szCs w:val="32"/>
          <w:lang w:bidi="ar-SA"/>
        </w:rPr>
        <w:t>支持交易团日常工作</w:t>
      </w:r>
      <w:r>
        <w:rPr>
          <w:rFonts w:hint="default" w:ascii="Times New Roman" w:hAnsi="Times New Roman" w:eastAsia="方正仿宋_GBK" w:cs="Times New Roman"/>
          <w:color w:val="auto"/>
          <w:spacing w:val="0"/>
          <w:w w:val="100"/>
          <w:position w:val="0"/>
          <w:sz w:val="32"/>
          <w:szCs w:val="32"/>
          <w:lang w:eastAsia="zh-CN" w:bidi="ar-SA"/>
        </w:rPr>
        <w:t>的事项，累计</w:t>
      </w:r>
      <w:r>
        <w:rPr>
          <w:rFonts w:hint="default" w:ascii="Times New Roman" w:hAnsi="Times New Roman" w:eastAsia="方正仿宋_GBK" w:cs="Times New Roman"/>
          <w:color w:val="auto"/>
          <w:spacing w:val="0"/>
          <w:w w:val="100"/>
          <w:position w:val="0"/>
          <w:sz w:val="32"/>
          <w:szCs w:val="32"/>
          <w:lang w:val="en-US" w:eastAsia="zh-CN" w:bidi="ar-SA"/>
        </w:rPr>
        <w:t>不超过4</w:t>
      </w:r>
      <w:r>
        <w:rPr>
          <w:rFonts w:hint="default" w:ascii="Times New Roman" w:hAnsi="Times New Roman" w:eastAsia="方正仿宋_GBK" w:cs="Times New Roman"/>
          <w:color w:val="auto"/>
          <w:spacing w:val="0"/>
          <w:w w:val="100"/>
          <w:position w:val="0"/>
          <w:sz w:val="32"/>
          <w:szCs w:val="32"/>
          <w:lang w:bidi="ar-SA"/>
        </w:rPr>
        <w:t>分</w:t>
      </w:r>
      <w:r>
        <w:rPr>
          <w:rFonts w:hint="default" w:ascii="Times New Roman" w:hAnsi="Times New Roman" w:eastAsia="方正仿宋_GBK" w:cs="Times New Roman"/>
          <w:color w:val="auto"/>
          <w:spacing w:val="0"/>
          <w:w w:val="100"/>
          <w:position w:val="0"/>
          <w:sz w:val="32"/>
          <w:szCs w:val="32"/>
          <w:lang w:eastAsia="zh-CN" w:bidi="ar-SA"/>
        </w:rPr>
        <w:t>。</w:t>
      </w:r>
    </w:p>
    <w:p w14:paraId="7D1426CA">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黑体_GBK" w:cs="Times New Roman"/>
          <w:color w:val="auto"/>
          <w:spacing w:val="0"/>
          <w:w w:val="100"/>
          <w:position w:val="0"/>
          <w:sz w:val="32"/>
          <w:szCs w:val="32"/>
          <w:lang w:eastAsia="zh-CN" w:bidi="ar-SA"/>
        </w:rPr>
      </w:pPr>
      <w:r>
        <w:rPr>
          <w:rFonts w:hint="default" w:ascii="Times New Roman" w:hAnsi="Times New Roman" w:eastAsia="方正黑体_GBK" w:cs="Times New Roman"/>
          <w:color w:val="auto"/>
          <w:spacing w:val="0"/>
          <w:w w:val="100"/>
          <w:position w:val="0"/>
          <w:sz w:val="32"/>
          <w:szCs w:val="32"/>
          <w:lang w:val="en-US" w:eastAsia="zh-CN" w:bidi="ar-SA"/>
        </w:rPr>
        <w:t>九、</w:t>
      </w:r>
      <w:r>
        <w:rPr>
          <w:rFonts w:hint="default" w:ascii="Times New Roman" w:hAnsi="Times New Roman" w:eastAsia="方正黑体_GBK" w:cs="Times New Roman"/>
          <w:color w:val="auto"/>
          <w:spacing w:val="0"/>
          <w:w w:val="100"/>
          <w:position w:val="0"/>
          <w:sz w:val="32"/>
          <w:szCs w:val="32"/>
          <w:lang w:eastAsia="zh-CN" w:bidi="ar-SA"/>
        </w:rPr>
        <w:t>扣分</w:t>
      </w:r>
    </w:p>
    <w:p w14:paraId="4A8B7312">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eastAsia="zh-CN" w:bidi="ar-SA"/>
        </w:rPr>
      </w:pPr>
      <w:r>
        <w:rPr>
          <w:rFonts w:hint="default" w:ascii="Times New Roman" w:hAnsi="Times New Roman" w:eastAsia="方正仿宋_GBK" w:cs="Times New Roman"/>
          <w:color w:val="auto"/>
          <w:spacing w:val="0"/>
          <w:w w:val="100"/>
          <w:position w:val="0"/>
          <w:sz w:val="32"/>
          <w:szCs w:val="32"/>
          <w:lang w:bidi="ar-SA"/>
        </w:rPr>
        <w:t>（一）未按时缴纳展位费的企业，扣</w:t>
      </w:r>
      <w:r>
        <w:rPr>
          <w:rFonts w:hint="default" w:ascii="Times New Roman" w:hAnsi="Times New Roman" w:eastAsia="方正仿宋_GBK" w:cs="Times New Roman"/>
          <w:color w:val="auto"/>
          <w:spacing w:val="0"/>
          <w:w w:val="100"/>
          <w:position w:val="0"/>
          <w:sz w:val="32"/>
          <w:szCs w:val="32"/>
          <w:lang w:val="en-US" w:eastAsia="zh-CN" w:bidi="ar-SA"/>
        </w:rPr>
        <w:t>5</w:t>
      </w:r>
      <w:r>
        <w:rPr>
          <w:rFonts w:hint="default" w:ascii="Times New Roman" w:hAnsi="Times New Roman" w:eastAsia="方正仿宋_GBK" w:cs="Times New Roman"/>
          <w:color w:val="auto"/>
          <w:spacing w:val="0"/>
          <w:w w:val="100"/>
          <w:position w:val="0"/>
          <w:sz w:val="32"/>
          <w:szCs w:val="32"/>
          <w:lang w:bidi="ar-SA"/>
        </w:rPr>
        <w:t>分</w:t>
      </w:r>
      <w:r>
        <w:rPr>
          <w:rFonts w:hint="default" w:ascii="Times New Roman" w:hAnsi="Times New Roman" w:eastAsia="方正仿宋_GBK" w:cs="Times New Roman"/>
          <w:color w:val="auto"/>
          <w:spacing w:val="0"/>
          <w:w w:val="100"/>
          <w:position w:val="0"/>
          <w:sz w:val="32"/>
          <w:szCs w:val="32"/>
          <w:lang w:eastAsia="zh-CN" w:bidi="ar-SA"/>
        </w:rPr>
        <w:t>；</w:t>
      </w:r>
    </w:p>
    <w:p w14:paraId="2ECF5C4D">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bidi="ar-SA"/>
        </w:rPr>
        <w:t>（二）</w:t>
      </w:r>
      <w:r>
        <w:rPr>
          <w:rFonts w:hint="default" w:ascii="Times New Roman" w:hAnsi="Times New Roman" w:eastAsia="方正仿宋_GBK" w:cs="Times New Roman"/>
          <w:color w:val="auto"/>
          <w:spacing w:val="0"/>
          <w:w w:val="100"/>
          <w:position w:val="0"/>
          <w:sz w:val="32"/>
          <w:szCs w:val="32"/>
          <w:lang w:val="en-US" w:eastAsia="zh-CN" w:bidi="ar-SA"/>
        </w:rPr>
        <w:t>参展企业人员违规使用证件或参展企业为非本企业人员办理参展证件的扣2分；</w:t>
      </w:r>
    </w:p>
    <w:p w14:paraId="58558FB1">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三</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不配合交易团相关工作并造成不良影响的，视情节扣分，最多</w:t>
      </w:r>
      <w:r>
        <w:rPr>
          <w:rFonts w:hint="default" w:ascii="Times New Roman" w:hAnsi="Times New Roman" w:eastAsia="方正仿宋_GBK" w:cs="Times New Roman"/>
          <w:color w:val="auto"/>
          <w:spacing w:val="0"/>
          <w:w w:val="100"/>
          <w:position w:val="0"/>
          <w:sz w:val="32"/>
          <w:szCs w:val="32"/>
          <w:lang w:eastAsia="zh-CN" w:bidi="ar-SA"/>
        </w:rPr>
        <w:t>扣</w:t>
      </w:r>
      <w:r>
        <w:rPr>
          <w:rFonts w:hint="default" w:ascii="Times New Roman" w:hAnsi="Times New Roman" w:eastAsia="方正仿宋_GBK" w:cs="Times New Roman"/>
          <w:color w:val="auto"/>
          <w:spacing w:val="0"/>
          <w:w w:val="100"/>
          <w:position w:val="0"/>
          <w:sz w:val="32"/>
          <w:szCs w:val="32"/>
          <w:lang w:val="en-US" w:eastAsia="zh-CN" w:bidi="ar-SA"/>
        </w:rPr>
        <w:t>5</w:t>
      </w:r>
      <w:r>
        <w:rPr>
          <w:rFonts w:hint="default" w:ascii="Times New Roman" w:hAnsi="Times New Roman" w:eastAsia="方正仿宋_GBK" w:cs="Times New Roman"/>
          <w:color w:val="auto"/>
          <w:spacing w:val="0"/>
          <w:w w:val="100"/>
          <w:position w:val="0"/>
          <w:sz w:val="32"/>
          <w:szCs w:val="32"/>
          <w:lang w:bidi="ar-SA"/>
        </w:rPr>
        <w:t>分。</w:t>
      </w:r>
    </w:p>
    <w:p w14:paraId="0EA907FB">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w:t>
      </w:r>
      <w:r>
        <w:rPr>
          <w:rFonts w:hint="default" w:ascii="Times New Roman" w:hAnsi="Times New Roman" w:eastAsia="方正仿宋_GBK" w:cs="Times New Roman"/>
          <w:color w:val="auto"/>
          <w:spacing w:val="0"/>
          <w:w w:val="100"/>
          <w:position w:val="0"/>
          <w:sz w:val="32"/>
          <w:szCs w:val="32"/>
          <w:lang w:val="en-US" w:eastAsia="zh-CN" w:bidi="ar-SA"/>
        </w:rPr>
        <w:t>四</w:t>
      </w:r>
      <w:r>
        <w:rPr>
          <w:rFonts w:hint="default" w:ascii="Times New Roman" w:hAnsi="Times New Roman" w:eastAsia="方正仿宋_GBK" w:cs="Times New Roman"/>
          <w:color w:val="auto"/>
          <w:spacing w:val="0"/>
          <w:w w:val="100"/>
          <w:position w:val="0"/>
          <w:sz w:val="32"/>
          <w:szCs w:val="32"/>
          <w:lang w:bidi="ar-SA"/>
        </w:rPr>
        <w:t>）展位号公布后退展位的企业，扣</w:t>
      </w:r>
      <w:r>
        <w:rPr>
          <w:rFonts w:hint="default" w:ascii="Times New Roman" w:hAnsi="Times New Roman" w:eastAsia="方正仿宋_GBK" w:cs="Times New Roman"/>
          <w:color w:val="auto"/>
          <w:spacing w:val="0"/>
          <w:w w:val="100"/>
          <w:position w:val="0"/>
          <w:sz w:val="32"/>
          <w:szCs w:val="32"/>
          <w:lang w:val="en-US" w:eastAsia="zh-CN" w:bidi="ar-SA"/>
        </w:rPr>
        <w:t>10</w:t>
      </w:r>
      <w:r>
        <w:rPr>
          <w:rFonts w:hint="default" w:ascii="Times New Roman" w:hAnsi="Times New Roman" w:eastAsia="方正仿宋_GBK" w:cs="Times New Roman"/>
          <w:color w:val="auto"/>
          <w:spacing w:val="0"/>
          <w:w w:val="100"/>
          <w:position w:val="0"/>
          <w:sz w:val="32"/>
          <w:szCs w:val="32"/>
          <w:lang w:bidi="ar-SA"/>
        </w:rPr>
        <w:t>分。</w:t>
      </w:r>
    </w:p>
    <w:p w14:paraId="5F5FD329">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w:t>
      </w:r>
      <w:r>
        <w:rPr>
          <w:rFonts w:hint="default" w:ascii="Times New Roman" w:hAnsi="Times New Roman" w:eastAsia="方正仿宋_GBK" w:cs="Times New Roman"/>
          <w:color w:val="auto"/>
          <w:spacing w:val="0"/>
          <w:w w:val="100"/>
          <w:position w:val="0"/>
          <w:sz w:val="32"/>
          <w:szCs w:val="32"/>
          <w:lang w:val="en-US" w:eastAsia="zh-CN" w:bidi="ar-SA"/>
        </w:rPr>
        <w:t>五</w:t>
      </w:r>
      <w:r>
        <w:rPr>
          <w:rFonts w:hint="default" w:ascii="Times New Roman" w:hAnsi="Times New Roman" w:eastAsia="方正仿宋_GBK" w:cs="Times New Roman"/>
          <w:color w:val="auto"/>
          <w:spacing w:val="0"/>
          <w:w w:val="100"/>
          <w:position w:val="0"/>
          <w:sz w:val="32"/>
          <w:szCs w:val="32"/>
          <w:lang w:bidi="ar-SA"/>
        </w:rPr>
        <w:t>）自上次展位评审以来，相应展区绿色特装不合格的参展企业，扣2分。</w:t>
      </w:r>
    </w:p>
    <w:p w14:paraId="442F7E5B">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w:t>
      </w:r>
      <w:r>
        <w:rPr>
          <w:rFonts w:hint="default" w:ascii="Times New Roman" w:hAnsi="Times New Roman" w:eastAsia="方正仿宋_GBK" w:cs="Times New Roman"/>
          <w:color w:val="auto"/>
          <w:spacing w:val="0"/>
          <w:w w:val="100"/>
          <w:position w:val="0"/>
          <w:sz w:val="32"/>
          <w:szCs w:val="32"/>
          <w:lang w:val="en-US" w:eastAsia="zh-CN" w:bidi="ar-SA"/>
        </w:rPr>
        <w:t>六</w:t>
      </w:r>
      <w:r>
        <w:rPr>
          <w:rFonts w:hint="default" w:ascii="Times New Roman" w:hAnsi="Times New Roman" w:eastAsia="方正仿宋_GBK" w:cs="Times New Roman"/>
          <w:color w:val="auto"/>
          <w:spacing w:val="0"/>
          <w:w w:val="100"/>
          <w:position w:val="0"/>
          <w:sz w:val="32"/>
          <w:szCs w:val="32"/>
          <w:lang w:bidi="ar-SA"/>
        </w:rPr>
        <w:t>）因知识产权、违规搭建</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贸易纠纷</w:t>
      </w:r>
      <w:r>
        <w:rPr>
          <w:rFonts w:hint="default" w:ascii="Times New Roman" w:hAnsi="Times New Roman" w:eastAsia="方正仿宋_GBK" w:cs="Times New Roman"/>
          <w:color w:val="auto"/>
          <w:spacing w:val="0"/>
          <w:w w:val="100"/>
          <w:position w:val="0"/>
          <w:sz w:val="32"/>
          <w:szCs w:val="32"/>
          <w:lang w:bidi="ar-SA"/>
        </w:rPr>
        <w:t>等问题被大会通报批评的企业，扣</w:t>
      </w:r>
      <w:r>
        <w:rPr>
          <w:rFonts w:hint="default" w:ascii="Times New Roman" w:hAnsi="Times New Roman" w:eastAsia="方正仿宋_GBK" w:cs="Times New Roman"/>
          <w:color w:val="auto"/>
          <w:spacing w:val="0"/>
          <w:w w:val="100"/>
          <w:position w:val="0"/>
          <w:sz w:val="32"/>
          <w:szCs w:val="32"/>
          <w:lang w:val="en-US" w:eastAsia="zh-CN" w:bidi="ar-SA"/>
        </w:rPr>
        <w:t>5</w:t>
      </w:r>
      <w:r>
        <w:rPr>
          <w:rFonts w:hint="default" w:ascii="Times New Roman" w:hAnsi="Times New Roman" w:eastAsia="方正仿宋_GBK" w:cs="Times New Roman"/>
          <w:color w:val="auto"/>
          <w:spacing w:val="0"/>
          <w:w w:val="100"/>
          <w:position w:val="0"/>
          <w:sz w:val="32"/>
          <w:szCs w:val="32"/>
          <w:lang w:bidi="ar-SA"/>
        </w:rPr>
        <w:t>分。</w:t>
      </w:r>
    </w:p>
    <w:p w14:paraId="7F47085C">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仿宋_GBK" w:cs="Times New Roman"/>
          <w:color w:val="auto"/>
          <w:spacing w:val="0"/>
          <w:w w:val="100"/>
          <w:position w:val="0"/>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val="en-US" w:eastAsia="zh-CN" w:bidi="ar-SA"/>
        </w:rPr>
        <w:t>七</w:t>
      </w:r>
      <w:r>
        <w:rPr>
          <w:rFonts w:hint="default" w:ascii="Times New Roman" w:hAnsi="Times New Roman" w:eastAsia="方正仿宋_GBK" w:cs="Times New Roman"/>
          <w:color w:val="auto"/>
          <w:spacing w:val="0"/>
          <w:w w:val="100"/>
          <w:position w:val="0"/>
          <w:sz w:val="32"/>
          <w:szCs w:val="32"/>
          <w:lang w:eastAsia="zh-CN" w:bidi="ar-SA"/>
        </w:rPr>
        <w:t>）</w:t>
      </w:r>
      <w:r>
        <w:rPr>
          <w:rFonts w:hint="default" w:ascii="Times New Roman" w:hAnsi="Times New Roman" w:eastAsia="方正仿宋_GBK" w:cs="Times New Roman"/>
          <w:color w:val="auto"/>
          <w:spacing w:val="0"/>
          <w:w w:val="100"/>
          <w:position w:val="0"/>
          <w:sz w:val="32"/>
          <w:szCs w:val="32"/>
          <w:lang w:bidi="ar-SA"/>
        </w:rPr>
        <w:t>企业在一届或多届参展过程中发生的违规行为实行</w:t>
      </w:r>
      <w:r>
        <w:rPr>
          <w:rStyle w:val="4"/>
          <w:rFonts w:hint="default" w:ascii="Times New Roman" w:hAnsi="Times New Roman" w:eastAsia="方正仿宋_GBK" w:cs="Times New Roman"/>
          <w:color w:val="auto"/>
          <w:spacing w:val="0"/>
          <w:w w:val="100"/>
          <w:position w:val="0"/>
          <w:sz w:val="32"/>
          <w:szCs w:val="32"/>
          <w:lang w:bidi="ar-SA"/>
        </w:rPr>
        <w:t>跨届累计扣分</w:t>
      </w:r>
      <w:r>
        <w:rPr>
          <w:rFonts w:hint="default" w:ascii="Times New Roman" w:hAnsi="Times New Roman" w:eastAsia="方正仿宋_GBK" w:cs="Times New Roman"/>
          <w:color w:val="auto"/>
          <w:spacing w:val="0"/>
          <w:w w:val="100"/>
          <w:position w:val="0"/>
          <w:sz w:val="32"/>
          <w:szCs w:val="32"/>
          <w:lang w:bidi="ar-SA"/>
        </w:rPr>
        <w:t>。往届已认定的违规扣分，继续计入后续届次的展位评审总分，直至重新评定。</w:t>
      </w:r>
    </w:p>
    <w:p w14:paraId="475381CF">
      <w:pPr>
        <w:pStyle w:val="2"/>
        <w:keepNext w:val="0"/>
        <w:keepLines w:val="0"/>
        <w:pageBreakBefore w:val="0"/>
        <w:widowControl w:val="0"/>
        <w:kinsoku/>
        <w:wordWrap/>
        <w:overflowPunct w:val="0"/>
        <w:topLinePunct w:val="0"/>
        <w:autoSpaceDE/>
        <w:autoSpaceDN/>
        <w:bidi w:val="0"/>
        <w:adjustRightInd w:val="0"/>
        <w:snapToGrid/>
        <w:spacing w:before="0" w:after="0" w:line="240" w:lineRule="auto"/>
        <w:ind w:left="0" w:right="0" w:firstLine="640" w:firstLineChars="200"/>
        <w:jc w:val="both"/>
        <w:textAlignment w:val="baseline"/>
        <w:outlineLvl w:val="9"/>
        <w:rPr>
          <w:rFonts w:hint="default" w:ascii="Times New Roman" w:hAnsi="Times New Roman" w:eastAsia="方正黑体_GBK" w:cs="Times New Roman"/>
          <w:color w:val="auto"/>
          <w:spacing w:val="0"/>
          <w:w w:val="100"/>
          <w:position w:val="0"/>
          <w:sz w:val="32"/>
          <w:szCs w:val="32"/>
          <w:lang w:eastAsia="zh-CN" w:bidi="ar-SA"/>
        </w:rPr>
      </w:pPr>
      <w:r>
        <w:rPr>
          <w:rFonts w:hint="default" w:ascii="Times New Roman" w:hAnsi="Times New Roman" w:eastAsia="方正黑体_GBK" w:cs="Times New Roman"/>
          <w:color w:val="auto"/>
          <w:spacing w:val="0"/>
          <w:w w:val="100"/>
          <w:position w:val="0"/>
          <w:sz w:val="32"/>
          <w:szCs w:val="32"/>
          <w:lang w:val="en-US" w:eastAsia="zh-CN" w:bidi="ar-SA"/>
        </w:rPr>
        <w:t>十</w:t>
      </w:r>
      <w:r>
        <w:rPr>
          <w:rFonts w:hint="default" w:ascii="Times New Roman" w:hAnsi="Times New Roman" w:eastAsia="方正黑体_GBK" w:cs="Times New Roman"/>
          <w:color w:val="auto"/>
          <w:spacing w:val="0"/>
          <w:w w:val="100"/>
          <w:position w:val="0"/>
          <w:sz w:val="32"/>
          <w:szCs w:val="32"/>
          <w:lang w:eastAsia="zh-CN" w:bidi="ar-SA"/>
        </w:rPr>
        <w:t>、其他要求</w:t>
      </w:r>
    </w:p>
    <w:p w14:paraId="07B45359">
      <w:pPr>
        <w:keepNext w:val="0"/>
        <w:keepLines w:val="0"/>
        <w:pageBreakBefore w:val="0"/>
        <w:widowControl w:val="0"/>
        <w:kinsoku/>
        <w:wordWrap/>
        <w:overflowPunct w:val="0"/>
        <w:topLinePunct w:val="0"/>
        <w:autoSpaceDE/>
        <w:autoSpaceDN/>
        <w:bidi w:val="0"/>
        <w:snapToGrid/>
        <w:spacing w:line="240" w:lineRule="auto"/>
        <w:ind w:left="0" w:right="0" w:firstLine="640" w:firstLineChars="200"/>
        <w:jc w:val="both"/>
        <w:outlineLvl w:val="9"/>
        <w:rPr>
          <w:rFonts w:hint="default" w:ascii="Times New Roman" w:hAnsi="Times New Roman" w:cs="Times New Roman"/>
          <w:color w:val="auto"/>
          <w:spacing w:val="0"/>
          <w:w w:val="100"/>
          <w:position w:val="0"/>
          <w:sz w:val="32"/>
          <w:szCs w:val="32"/>
          <w:lang w:bidi="ar-SA"/>
        </w:rPr>
      </w:pPr>
      <w:r>
        <w:rPr>
          <w:rFonts w:hint="default" w:ascii="Times New Roman" w:hAnsi="Times New Roman" w:eastAsia="方正仿宋_GBK" w:cs="Times New Roman"/>
          <w:color w:val="auto"/>
          <w:spacing w:val="0"/>
          <w:w w:val="100"/>
          <w:position w:val="0"/>
          <w:sz w:val="32"/>
          <w:szCs w:val="32"/>
          <w:lang w:bidi="ar-SA"/>
        </w:rPr>
        <w:t>考虑到企业转型升级的实际经营情况，允许企业在转型升级期间用变更后的企业（属于同一法人或同一实际控制人）进行展位申请，企业提交相关证明材料后，在评分时允许同时使用两家公司的资料进行评分排序。</w:t>
      </w:r>
    </w:p>
    <w:p w14:paraId="094A5E0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16F67"/>
    <w:rsid w:val="23716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2026-05-11T08:43:00Z</dcterms:created>
  <dc:creator>山水水木</dc:creator>
  <cp:lastModifiedBy>山水水木</cp:lastModifiedBy>
  <dcterms:modified xsi:type="dcterms:W3CDTF">2026-05-11T08:44:13Z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C1FD565D2DCF4DD2A010EC94B05B99B8_11</vt:lpwstr>
  </property>
  <property fmtid="{D5CDD505-2E9C-101B-9397-08002B2CF9AE}" pid="4" name="KSOTemplateDocerSaveRecord">
    <vt:lpwstr>eyJoZGlkIjoiNDBjYWU4ZjgyYTY3NWY0MjIwMzJkOGNhODc4YTdjMWQiLCJ1c2VySWQiOiI0MTEyMzk2ODkifQ==</vt:lpwstr>
  </property>
</Properties>
</file>