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03B1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附件1</w:t>
      </w:r>
    </w:p>
    <w:p w14:paraId="337066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24BF70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重庆市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生物医药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进出境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特殊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货物物品</w:t>
      </w:r>
    </w:p>
    <w:p w14:paraId="222B58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“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白名单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”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企业（机构）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及货物物品</w:t>
      </w:r>
    </w:p>
    <w:p w14:paraId="74E893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管理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办法</w:t>
      </w:r>
    </w:p>
    <w:p w14:paraId="37BD45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 w:firstLine="63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0CC1F8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jc w:val="center"/>
        <w:textAlignment w:val="auto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第一章</w:t>
      </w: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总则</w:t>
      </w:r>
    </w:p>
    <w:p w14:paraId="5B15A1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63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第一条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为压实生物医药企业生物安全风险防控主体责任，规范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全市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进出境特殊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货物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物品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白名单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企业（机构）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及货物物品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认定、监管流程，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严控生物安全风险、提升合规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特殊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货物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物品通关效率，结合实际，特制定本管理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办法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。</w:t>
      </w:r>
    </w:p>
    <w:p w14:paraId="4D7B1C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63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第二条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本办法所称进出境特殊货物物品“白名单”，实行“企业（机构）+货物物品”双白名单、一一绑定、精准匹配的管理机制。白名单由合规企业（机构）及特殊货物物品两部分组成，单家企业（机构）仅可使用在白名单内自身对应的特殊货物物品，单类特殊货物物品仅可对应企业（机构）使用，不得跨主体、跨清单混用、转借、共用。</w:t>
      </w:r>
    </w:p>
    <w:p w14:paraId="62C1DE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63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第三条</w:t>
      </w:r>
      <w:r>
        <w:rPr>
          <w:rFonts w:hint="eastAsia" w:ascii="Times New Roman" w:hAnsi="Times New Roman" w:eastAsia="方正楷体_GBK" w:cs="Times New Roman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本办法适用于重庆市行政区域内，从事生物医药研发、实验、检测、生产等相关业务，需常态化办理进出境生物医药特殊货物物品业务，自愿申请纳入“主体+物品”双白名单管理的企业（机构）及其对应进出境特殊货物物品。</w:t>
      </w:r>
    </w:p>
    <w:p w14:paraId="2E0E23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63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第四条</w:t>
      </w:r>
      <w:r>
        <w:rPr>
          <w:rFonts w:hint="eastAsia" w:ascii="Times New Roman" w:hAnsi="Times New Roman" w:eastAsia="方正楷体_GBK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本办法所指进出境特殊货物物品为《进出境特殊物品生物安全风险分级监管表》（署卫发〔2025〕54号附件）中对国内生物安全影响较大的B1和B2级进出境特殊货物物品。</w:t>
      </w:r>
    </w:p>
    <w:p w14:paraId="205328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jc w:val="center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第二章</w:t>
      </w: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申请认定</w:t>
      </w:r>
    </w:p>
    <w:p w14:paraId="4CD112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63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第</w:t>
      </w:r>
      <w:r>
        <w:rPr>
          <w:rFonts w:hint="eastAsia" w:ascii="Times New Roman" w:hAnsi="Times New Roman" w:eastAsia="方正楷体_GBK" w:cs="Times New Roman"/>
          <w:sz w:val="32"/>
          <w:szCs w:val="32"/>
          <w:lang w:val="en-US" w:eastAsia="zh-CN"/>
        </w:rPr>
        <w:t>五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条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申请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纳入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进出境特殊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货物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物品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白名单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（以下简称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白名单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）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管理的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企业（机构）应符合下列条件：</w:t>
      </w:r>
    </w:p>
    <w:p w14:paraId="5783DB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63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（一）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依法经营、生产经营状态正常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；</w:t>
      </w:r>
    </w:p>
    <w:p w14:paraId="3F621D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63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（二）拥有与进出境特殊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货物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物品相适应的生物安全控制能力，配有专门的生物安全管理人员，具备固定的办公场所及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与申报物品风险等级适配的生物安全实验室资质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；</w:t>
      </w:r>
    </w:p>
    <w:p w14:paraId="39D9C0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63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（三）具有一年以上的进出境特殊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货物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物品经验，且申请认定前一年内特殊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货物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物品通关、使用、危废处理无违反相关规定的情况。对不满一年进出境特殊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货物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物品经验的企业（机构），经评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估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认定后，可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纳入“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白名单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管理；</w:t>
      </w:r>
    </w:p>
    <w:p w14:paraId="26533C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63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（四）未被列入失信被执行人、严重违法失信名单，或存在失信行为但已完成信息修复；</w:t>
      </w:r>
    </w:p>
    <w:p w14:paraId="0F7248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63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（五）未存在其他违反国家法律法规和产业政策、环保政策、金融政策、侵犯消费者权益等情形，无在办相关案件，近两年未受到刑事行政处罚。</w:t>
      </w:r>
    </w:p>
    <w:p w14:paraId="57BBCB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63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 xml:space="preserve">第六条 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纳入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白名单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”管理的进出境特殊货物物品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须符合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以下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条件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：</w:t>
      </w:r>
    </w:p>
    <w:p w14:paraId="7C8006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63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（一）属于生物医药研发、检测、实验、生产所需的合规特殊货物物品，用途明确、来源合法、风险可控；</w:t>
      </w:r>
    </w:p>
    <w:p w14:paraId="14854C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63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（二）物品风险等级与申报企业（机构）实验室等级、储存条件、处置能力、管控体系相匹配；</w:t>
      </w:r>
    </w:p>
    <w:p w14:paraId="2BB47A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63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（三）有明确的进出境频次、使用场景、存放地点、废弃物处置路径，全程可追溯、可监管；</w:t>
      </w:r>
    </w:p>
    <w:p w14:paraId="459FEC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63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（四）不属于国家禁止进出境、限制使用、管控高危品类，符合生物安全、海关监管、生态环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境、道路运输、药品监管、人类遗传资源管理以及科研伦理管理等法律法规政策要求。</w:t>
      </w:r>
    </w:p>
    <w:p w14:paraId="4027BD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63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 xml:space="preserve">第七条 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企业（机构）申请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纳入“企业（机构）+货物物品”白名单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，须统一提交以下材料：</w:t>
      </w:r>
    </w:p>
    <w:p w14:paraId="45DB64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63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（一）生物医药进出境特殊货物物品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主体+物品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白名单认定申请书，附《白名单企业（机构）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—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特殊货物物品对应清单》，明确物品名称、类别、规格、风险等级、来源、用途、进出境频次、存放地址、使用周期；</w:t>
      </w:r>
    </w:p>
    <w:p w14:paraId="6695AE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63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（二）单位三证合一营业执照、法定代表人身份证复印件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或主要负责人身份证复印件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；</w:t>
      </w:r>
    </w:p>
    <w:p w14:paraId="501AFC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63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（三）与申报物品风险等级适配的生物安全实验室资质证明；</w:t>
      </w:r>
    </w:p>
    <w:p w14:paraId="171EA0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63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（四）生物安全风险防控体系建设材料，含专职管理人员台账、管理制度、标准操作规程、应急处置预案、培训演练记录、废弃物处置制度；涉及生产环节的，同步提交生产场所、工艺流程、质量保障体系运行材料；</w:t>
      </w:r>
    </w:p>
    <w:p w14:paraId="5066E4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63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（五）申报前一年内企业（机构）特殊货物物品通关、使用、危废处置合规佐证材料；</w:t>
      </w:r>
    </w:p>
    <w:p w14:paraId="7A0EF8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63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（六）生物安全管理人员官方政策培训记录；</w:t>
      </w:r>
    </w:p>
    <w:p w14:paraId="268B99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63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（七）完整、细化的进出境特殊货物物品专项使用计划；</w:t>
      </w:r>
    </w:p>
    <w:p w14:paraId="7AA4DA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63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（八）其他证明材料（若建有市级以上研发单位、获得市级以上科技奖励，或者参与国际标准、国家标准、行业标准起草等证明材料，请一并提供）。</w:t>
      </w:r>
    </w:p>
    <w:p w14:paraId="5C9EF1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63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第</w:t>
      </w:r>
      <w:r>
        <w:rPr>
          <w:rFonts w:hint="eastAsia" w:ascii="Times New Roman" w:hAnsi="Times New Roman" w:eastAsia="方正楷体_GBK" w:cs="Times New Roman"/>
          <w:sz w:val="32"/>
          <w:szCs w:val="32"/>
          <w:lang w:val="en-US" w:eastAsia="zh-CN"/>
        </w:rPr>
        <w:t>八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条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“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白名单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资格申报按照以下程序实施：</w:t>
      </w:r>
    </w:p>
    <w:p w14:paraId="6303D6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63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u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（一）根据自愿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申报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原则，符合要求的企业（机构）按照第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七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条准备申报材料，</w:t>
      </w:r>
      <w:r>
        <w:rPr>
          <w:rFonts w:hint="default" w:ascii="Times New Roman" w:hAnsi="Times New Roman" w:eastAsia="方正仿宋_GBK" w:cs="Times New Roman"/>
          <w:sz w:val="32"/>
          <w:szCs w:val="32"/>
          <w:u w:val="none"/>
          <w:lang w:val="en-US" w:eastAsia="zh-CN"/>
        </w:rPr>
        <w:t>经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市级联合监管机制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办公室于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每半年</w:t>
      </w:r>
      <w:r>
        <w:rPr>
          <w:rFonts w:hint="default" w:ascii="Times New Roman" w:hAnsi="Times New Roman" w:eastAsia="方正仿宋_GBK" w:cs="Times New Roman"/>
          <w:sz w:val="32"/>
          <w:szCs w:val="32"/>
          <w:u w:val="none"/>
          <w:lang w:val="en-US" w:eastAsia="zh-CN"/>
        </w:rPr>
        <w:t>发布申报通知后上报</w:t>
      </w:r>
      <w:r>
        <w:rPr>
          <w:rFonts w:hint="eastAsia" w:ascii="Times New Roman" w:hAnsi="Times New Roman" w:eastAsia="方正仿宋_GBK" w:cs="Times New Roman"/>
          <w:sz w:val="32"/>
          <w:szCs w:val="32"/>
          <w:u w:val="none"/>
          <w:lang w:val="en-US" w:eastAsia="zh-CN"/>
        </w:rPr>
        <w:t>至所在区的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区县推进机制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，可根据企业实际需求适时增加申报频次</w:t>
      </w:r>
      <w:r>
        <w:rPr>
          <w:rFonts w:hint="default" w:ascii="Times New Roman" w:hAnsi="Times New Roman" w:eastAsia="方正仿宋_GBK" w:cs="Times New Roman"/>
          <w:sz w:val="32"/>
          <w:szCs w:val="32"/>
          <w:u w:val="none"/>
          <w:lang w:val="en-US" w:eastAsia="zh-CN"/>
        </w:rPr>
        <w:t>；</w:t>
      </w:r>
    </w:p>
    <w:p w14:paraId="3E1339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63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（二）区县推进机制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接收本区域内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企业（机构）申报材料，按照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第五、六条所列申报条件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对申报材料完整性进行初审。初审完成后报市级联合监管机制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；</w:t>
      </w:r>
    </w:p>
    <w:p w14:paraId="31A07C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63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（三）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市级联合监管机制负责“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白名单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”的认定工作，组织开展综合评估，合格后认定为“白名单”企业（机构）和进出境特殊货物物品。综合评估结论经市级联合监管机制成员单位同意后，由市商务委出具。</w:t>
      </w:r>
    </w:p>
    <w:p w14:paraId="57D84F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63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第</w:t>
      </w:r>
      <w:r>
        <w:rPr>
          <w:rFonts w:hint="eastAsia" w:ascii="Times New Roman" w:hAnsi="Times New Roman" w:eastAsia="方正楷体_GBK" w:cs="Times New Roman"/>
          <w:sz w:val="32"/>
          <w:szCs w:val="32"/>
          <w:lang w:val="en-US" w:eastAsia="zh-CN"/>
        </w:rPr>
        <w:t>九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条</w:t>
      </w:r>
      <w:r>
        <w:rPr>
          <w:rFonts w:hint="eastAsia" w:ascii="Times New Roman" w:hAnsi="Times New Roman" w:eastAsia="方正楷体_GBK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白名单实行动态增补机制。已纳入白名单的企业（机构），如需新增、变更、删减特殊货物物品品类，须单独提交申请，经区县初审、市级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认定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通过后，更新企业物品对应清单，未备案新增物品不得享受白名单便利化政策。</w:t>
      </w:r>
    </w:p>
    <w:p w14:paraId="337B99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jc w:val="center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第三章</w:t>
      </w: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 xml:space="preserve">  “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白名单</w:t>
      </w: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企业（机构）责任</w:t>
      </w:r>
    </w:p>
    <w:p w14:paraId="1F962F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63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第</w:t>
      </w:r>
      <w:r>
        <w:rPr>
          <w:rFonts w:hint="eastAsia" w:ascii="Times New Roman" w:hAnsi="Times New Roman" w:eastAsia="方正楷体_GBK" w:cs="Times New Roman"/>
          <w:sz w:val="32"/>
          <w:szCs w:val="32"/>
          <w:lang w:val="en-US" w:eastAsia="zh-CN"/>
        </w:rPr>
        <w:t>十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条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纳入“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白名单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”管理的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企业（机构）应在生物医药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进出境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特殊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货物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物品关键流程中，依托视频监控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、全流程追溯数字化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系统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等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落实生物安全管控要求，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严格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遵循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生物安全实验室标准、环境和职业健康安全管理体系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EHS管理体系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）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、质量管理体系要求。</w:t>
      </w:r>
    </w:p>
    <w:p w14:paraId="2BAEFB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63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（一）物流运输管理。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白名单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企业（机构）进出境特殊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货物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物品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运输过程中均应采用封签方式封装，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在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货物启运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抵达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节点，须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核对外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包装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及封签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完整性，并保存其记录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特殊货物物品如属危险货物的，应当在货物包装外张贴危险货物标志。并委托交付给有承运资质的危货运输企业承运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；</w:t>
      </w:r>
    </w:p>
    <w:p w14:paraId="20814B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63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（二）研发生产管理。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白名单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企业（机构）应当建立生物医药特殊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货物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物品入库、存储、取样、生产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研发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、包装、出库以及场内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转运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各关键环节的风险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防控细则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，明确责任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岗位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和责任人员，并定期进行生物安全管理培训、演练和自我评估；</w:t>
      </w:r>
    </w:p>
    <w:p w14:paraId="5020CD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63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（三）追溯管理。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白名单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企业（机构）应建立生物医药特殊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货物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物品追溯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体系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确保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生物医药特殊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货物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物品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关键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信息、批号等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保持一致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，实现生物医药特殊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货物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物品物流运输、研发生产全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过程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的追溯能力；</w:t>
      </w:r>
    </w:p>
    <w:p w14:paraId="077F80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63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（四）生物安全管理。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白名单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企业（机构）应具备与开展生物医药特殊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货物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物品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研发生产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活动相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匹配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的生物安全实验室资质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，建设生物安全实验室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管理体系，明确生物安全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责任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人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，建立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防泄露、丢失等应急预案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并定期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演练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。</w:t>
      </w:r>
    </w:p>
    <w:p w14:paraId="6A509A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jc w:val="center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第四章</w:t>
      </w: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监督管理</w:t>
      </w:r>
    </w:p>
    <w:p w14:paraId="30B710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63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第</w:t>
      </w:r>
      <w:r>
        <w:rPr>
          <w:rFonts w:hint="eastAsia" w:ascii="Times New Roman" w:hAnsi="Times New Roman" w:eastAsia="方正楷体_GBK" w:cs="Times New Roman"/>
          <w:sz w:val="32"/>
          <w:szCs w:val="32"/>
          <w:lang w:val="en-US" w:eastAsia="zh-CN"/>
        </w:rPr>
        <w:t>十一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条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区县推进机制对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白名单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企业（机构）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特殊货物物品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入境后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的运输、储存、使用、销毁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等各个环节进行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常态化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监督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检查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，切实履行事中事后监管属地责任。监管过程中发现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各类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违规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行为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相关区县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行业主管部门第一时间介入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处置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，并同步将处置情况报送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市级联合监管机制。</w:t>
      </w:r>
    </w:p>
    <w:p w14:paraId="6AD2B0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63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第</w:t>
      </w:r>
      <w:r>
        <w:rPr>
          <w:rFonts w:hint="eastAsia" w:ascii="Times New Roman" w:hAnsi="Times New Roman" w:eastAsia="方正楷体_GBK" w:cs="Times New Roman"/>
          <w:sz w:val="32"/>
          <w:szCs w:val="32"/>
          <w:lang w:val="en-US" w:eastAsia="zh-CN"/>
        </w:rPr>
        <w:t>十二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条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“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白名单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实行动态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分级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风险管理，根据区县推进机制不定期检查结果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，将“白名单”内企业（机构）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分为正常、风险、终止三种状态。</w:t>
      </w:r>
    </w:p>
    <w:p w14:paraId="30B3F1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63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第</w:t>
      </w:r>
      <w:r>
        <w:rPr>
          <w:rFonts w:hint="eastAsia" w:ascii="Times New Roman" w:hAnsi="Times New Roman" w:eastAsia="方正楷体_GBK" w:cs="Times New Roman"/>
          <w:sz w:val="32"/>
          <w:szCs w:val="32"/>
          <w:lang w:val="en-US" w:eastAsia="zh-CN"/>
        </w:rPr>
        <w:t>十三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条</w:t>
      </w:r>
      <w:r>
        <w:rPr>
          <w:rFonts w:hint="eastAsia" w:ascii="Times New Roman" w:hAnsi="Times New Roman" w:eastAsia="方正楷体_GBK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处于正常状态的企业（机构）可享受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“白名单”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通关便利化措施，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并于纳入“白名单”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开始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每半年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向区县推进机制提交安全自查报告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，由区县推进机制汇总后报送市级联合监管机制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。</w:t>
      </w:r>
    </w:p>
    <w:p w14:paraId="25EC4B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63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第</w:t>
      </w:r>
      <w:r>
        <w:rPr>
          <w:rFonts w:hint="eastAsia" w:ascii="Times New Roman" w:hAnsi="Times New Roman" w:eastAsia="方正楷体_GBK" w:cs="Times New Roman"/>
          <w:sz w:val="32"/>
          <w:szCs w:val="32"/>
          <w:lang w:val="en-US" w:eastAsia="zh-CN"/>
        </w:rPr>
        <w:t>十四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条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处于风险状态的企业（机构）暂停享受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“白名单”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通关便利化措施，并按照要求限期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进行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整改，整改完成经区县推进机制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审核通过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后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报市级联合监管机制同意后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恢复正常状态。</w:t>
      </w:r>
    </w:p>
    <w:p w14:paraId="37BFAA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63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第十</w:t>
      </w:r>
      <w:r>
        <w:rPr>
          <w:rFonts w:hint="eastAsia" w:ascii="Times New Roman" w:hAnsi="Times New Roman" w:eastAsia="方正楷体_GBK" w:cs="Times New Roman"/>
          <w:sz w:val="32"/>
          <w:szCs w:val="32"/>
          <w:lang w:val="en-US" w:eastAsia="zh-CN"/>
        </w:rPr>
        <w:t>五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条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处于风险状态的企业（机构）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逾期未完成整改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，或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整改审核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不通过，或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查实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存在严重违法违规、失信行为等，经区县推进机制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研判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为终止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状态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的，报市级联合监管机制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，并由市级联合监管机制移出“白名单”。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被移除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白名单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的企业（机构）自移除日算起，两年内不得提交认定申请。</w:t>
      </w:r>
    </w:p>
    <w:p w14:paraId="70CD29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jc w:val="center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第五章</w:t>
      </w: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附则</w:t>
      </w:r>
    </w:p>
    <w:p w14:paraId="09FC7C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63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第十</w:t>
      </w:r>
      <w:r>
        <w:rPr>
          <w:rFonts w:hint="eastAsia" w:ascii="Times New Roman" w:hAnsi="Times New Roman" w:eastAsia="方正楷体_GBK" w:cs="Times New Roman"/>
          <w:sz w:val="32"/>
          <w:szCs w:val="32"/>
          <w:lang w:val="en-US" w:eastAsia="zh-CN"/>
        </w:rPr>
        <w:t>六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条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本管理规程由相关市级部门负责解释，自发布之日起实施。</w:t>
      </w:r>
    </w:p>
    <w:p w14:paraId="6558AE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63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sectPr>
          <w:pgSz w:w="11906" w:h="16838"/>
          <w:pgMar w:top="2098" w:right="1800" w:bottom="1984" w:left="1531" w:header="851" w:footer="992" w:gutter="0"/>
          <w:pgNumType w:fmt="decimal"/>
          <w:cols w:space="720" w:num="1"/>
          <w:rtlGutter w:val="0"/>
          <w:docGrid w:type="linesAndChars" w:linePitch="579" w:charSpace="-1195"/>
        </w:sectPr>
      </w:pPr>
    </w:p>
    <w:p w14:paraId="38DAD32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34229E"/>
    <w:rsid w:val="0F342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方正仿宋_GBK" w:eastAsia="方正仿宋_GBK"/>
      <w:sz w:val="18"/>
      <w:szCs w:val="18"/>
    </w:rPr>
  </w:style>
  <w:style w:type="paragraph" w:customStyle="1" w:styleId="3">
    <w:name w:val="索引 51"/>
    <w:basedOn w:val="1"/>
    <w:next w:val="1"/>
    <w:qFormat/>
    <w:uiPriority w:val="0"/>
    <w:pPr>
      <w:ind w:left="168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2026-09-08T07:13:00Z</dcterms:created>
  <dc:creator>山水水木</dc:creator>
  <cp:lastModifiedBy>山水水木</cp:lastModifiedBy>
  <dcterms:modified xsi:type="dcterms:W3CDTF">2026-09-08T07:14:54Z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6E52B636D6764B2396E870BE6142298D_11</vt:lpwstr>
  </property>
  <property fmtid="{D5CDD505-2E9C-101B-9397-08002B2CF9AE}" pid="4" name="KSOTemplateDocerSaveRecord">
    <vt:lpwstr>eyJoZGlkIjoiNDBjYWU4ZjgyYTY3NWY0MjIwMzJkOGNhODc4YTdjMWQiLCJ1c2VySWQiOiI0MTEyMzk2ODkifQ==</vt:lpwstr>
  </property>
</Properties>
</file>