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32"/>
        </w:rPr>
      </w:pPr>
      <w:bookmarkStart w:id="495" w:name="_GoBack"/>
      <w:bookmarkEnd w:id="495"/>
    </w:p>
    <w:p/>
    <w:p>
      <w:pPr>
        <w:ind w:firstLine="880"/>
        <w:jc w:val="center"/>
        <w:rPr>
          <w:sz w:val="44"/>
          <w:szCs w:val="44"/>
        </w:rPr>
      </w:pPr>
    </w:p>
    <w:p>
      <w:pPr>
        <w:jc w:val="left"/>
        <w:rPr>
          <w:sz w:val="44"/>
          <w:szCs w:val="44"/>
        </w:rPr>
      </w:pPr>
    </w:p>
    <w:p>
      <w:pPr>
        <w:jc w:val="center"/>
        <w:rPr>
          <w:sz w:val="44"/>
          <w:szCs w:val="44"/>
        </w:rPr>
      </w:pPr>
      <w:r>
        <w:rPr>
          <w:sz w:val="44"/>
          <w:szCs w:val="44"/>
        </w:rPr>
        <w:t>重庆市成品油零售加油站“十四五”发展规划</w:t>
      </w:r>
    </w:p>
    <w:p>
      <w:pPr>
        <w:ind w:firstLine="800"/>
        <w:jc w:val="center"/>
        <w:rPr>
          <w:sz w:val="40"/>
          <w:szCs w:val="44"/>
        </w:rPr>
      </w:pPr>
    </w:p>
    <w:p>
      <w:pPr>
        <w:ind w:firstLine="800"/>
        <w:jc w:val="center"/>
        <w:rPr>
          <w:sz w:val="40"/>
          <w:szCs w:val="44"/>
        </w:rPr>
      </w:pPr>
    </w:p>
    <w:p>
      <w:pPr>
        <w:ind w:firstLine="800"/>
        <w:jc w:val="center"/>
        <w:rPr>
          <w:sz w:val="40"/>
          <w:szCs w:val="44"/>
        </w:rPr>
      </w:pPr>
    </w:p>
    <w:p>
      <w:pPr>
        <w:ind w:firstLine="800"/>
        <w:jc w:val="center"/>
        <w:rPr>
          <w:sz w:val="40"/>
          <w:szCs w:val="44"/>
        </w:rPr>
      </w:pPr>
    </w:p>
    <w:p>
      <w:pPr>
        <w:ind w:firstLine="800"/>
        <w:jc w:val="center"/>
        <w:rPr>
          <w:sz w:val="40"/>
          <w:szCs w:val="44"/>
        </w:rPr>
      </w:pPr>
    </w:p>
    <w:p>
      <w:pPr>
        <w:rPr>
          <w:sz w:val="40"/>
          <w:szCs w:val="44"/>
        </w:rPr>
      </w:pPr>
    </w:p>
    <w:p>
      <w:pPr>
        <w:rPr>
          <w:sz w:val="40"/>
          <w:szCs w:val="44"/>
        </w:rPr>
      </w:pPr>
    </w:p>
    <w:p>
      <w:pPr>
        <w:rPr>
          <w:sz w:val="40"/>
          <w:szCs w:val="44"/>
        </w:rPr>
      </w:pPr>
    </w:p>
    <w:p>
      <w:pPr>
        <w:rPr>
          <w:sz w:val="40"/>
          <w:szCs w:val="44"/>
        </w:rPr>
      </w:pPr>
    </w:p>
    <w:p>
      <w:pPr>
        <w:jc w:val="center"/>
        <w:rPr>
          <w:sz w:val="32"/>
          <w:szCs w:val="32"/>
        </w:rPr>
      </w:pPr>
    </w:p>
    <w:p>
      <w:pPr>
        <w:jc w:val="center"/>
        <w:rPr>
          <w:sz w:val="32"/>
          <w:szCs w:val="32"/>
        </w:rPr>
      </w:pPr>
      <w:r>
        <w:rPr>
          <w:sz w:val="32"/>
          <w:szCs w:val="32"/>
        </w:rPr>
        <w:t>重庆市商务委员会</w:t>
      </w:r>
    </w:p>
    <w:p>
      <w:pPr>
        <w:jc w:val="center"/>
        <w:rPr>
          <w:sz w:val="32"/>
          <w:szCs w:val="32"/>
        </w:rPr>
      </w:pPr>
      <w:r>
        <w:rPr>
          <w:sz w:val="32"/>
          <w:szCs w:val="32"/>
        </w:rPr>
        <w:t>二〇二二年四月</w:t>
      </w:r>
    </w:p>
    <w:p>
      <w:pPr>
        <w:pStyle w:val="2"/>
        <w:jc w:val="center"/>
      </w:pPr>
      <w:r>
        <w:rPr>
          <w:sz w:val="32"/>
          <w:szCs w:val="32"/>
        </w:rPr>
        <w:t>编制单位：重庆市规划事务中心</w:t>
      </w:r>
    </w:p>
    <w:p>
      <w:pPr>
        <w:jc w:val="right"/>
        <w:rPr>
          <w:sz w:val="32"/>
          <w:szCs w:val="32"/>
        </w:rPr>
      </w:pPr>
    </w:p>
    <w:p>
      <w:pPr>
        <w:ind w:firstLine="640"/>
        <w:jc w:val="left"/>
        <w:rPr>
          <w:sz w:val="32"/>
          <w:szCs w:val="32"/>
        </w:rPr>
      </w:pPr>
    </w:p>
    <w:p>
      <w:pPr>
        <w:ind w:firstLine="640"/>
        <w:jc w:val="left"/>
        <w:rPr>
          <w:sz w:val="32"/>
          <w:szCs w:val="32"/>
        </w:rPr>
        <w:sectPr>
          <w:footerReference r:id="rId3" w:type="default"/>
          <w:pgSz w:w="11906" w:h="16838"/>
          <w:pgMar w:top="2098" w:right="1531" w:bottom="1984" w:left="1531" w:header="851" w:footer="1474" w:gutter="0"/>
          <w:cols w:space="0" w:num="1"/>
          <w:docGrid w:type="linesAndChars" w:linePitch="579" w:charSpace="117"/>
        </w:sectPr>
      </w:pPr>
    </w:p>
    <w:p>
      <w:pPr>
        <w:pStyle w:val="71"/>
        <w:snapToGrid w:val="0"/>
        <w:spacing w:before="0" w:beforeAutospacing="0" w:afterAutospacing="0" w:line="240" w:lineRule="auto"/>
        <w:jc w:val="center"/>
        <w:outlineLvl w:val="0"/>
        <w:rPr>
          <w:rFonts w:hint="default" w:ascii="Times New Roman" w:hAnsi="Times New Roman" w:eastAsia="宋体"/>
          <w:b w:val="0"/>
          <w:bCs/>
          <w:color w:val="auto"/>
          <w:sz w:val="44"/>
          <w:szCs w:val="44"/>
          <w:lang w:val="zh-CN"/>
        </w:rPr>
      </w:pPr>
      <w:r>
        <w:rPr>
          <w:rFonts w:hint="default" w:ascii="Times New Roman" w:hAnsi="Times New Roman" w:eastAsia="宋体"/>
          <w:b w:val="0"/>
          <w:bCs/>
          <w:color w:val="auto"/>
          <w:sz w:val="44"/>
          <w:szCs w:val="44"/>
          <w:lang w:val="zh-CN"/>
        </w:rPr>
        <w:t>目  录</w:t>
      </w:r>
    </w:p>
    <w:p/>
    <w:p>
      <w:pPr>
        <w:pStyle w:val="12"/>
        <w:snapToGrid w:val="0"/>
        <w:spacing w:line="240" w:lineRule="auto"/>
        <w:rPr>
          <w:rFonts w:eastAsia="宋体"/>
          <w:sz w:val="28"/>
          <w:szCs w:val="28"/>
        </w:rPr>
      </w:pPr>
      <w:r>
        <w:rPr>
          <w:rFonts w:eastAsia="宋体"/>
          <w:sz w:val="28"/>
          <w:szCs w:val="28"/>
        </w:rPr>
        <w:fldChar w:fldCharType="begin"/>
      </w:r>
      <w:r>
        <w:rPr>
          <w:rFonts w:eastAsia="宋体"/>
          <w:sz w:val="28"/>
          <w:szCs w:val="28"/>
        </w:rPr>
        <w:instrText xml:space="preserve"> TOC \o "1-3" \h \z \u </w:instrText>
      </w:r>
      <w:r>
        <w:rPr>
          <w:rFonts w:eastAsia="宋体"/>
          <w:sz w:val="28"/>
          <w:szCs w:val="28"/>
        </w:rPr>
        <w:fldChar w:fldCharType="separate"/>
      </w:r>
      <w:r>
        <w:fldChar w:fldCharType="begin"/>
      </w:r>
      <w:r>
        <w:instrText xml:space="preserve"> HYPERLINK \l "_Toc96528548" </w:instrText>
      </w:r>
      <w:r>
        <w:fldChar w:fldCharType="separate"/>
      </w:r>
      <w:r>
        <w:rPr>
          <w:rStyle w:val="24"/>
          <w:rFonts w:eastAsia="宋体"/>
          <w:color w:val="auto"/>
          <w:sz w:val="28"/>
          <w:szCs w:val="28"/>
        </w:rPr>
        <w:t>前 言</w:t>
      </w:r>
      <w:r>
        <w:rPr>
          <w:rFonts w:eastAsia="宋体"/>
          <w:sz w:val="28"/>
          <w:szCs w:val="28"/>
        </w:rPr>
        <w:tab/>
      </w:r>
      <w:r>
        <w:rPr>
          <w:rFonts w:eastAsia="宋体"/>
          <w:sz w:val="28"/>
          <w:szCs w:val="28"/>
        </w:rPr>
        <w:fldChar w:fldCharType="begin"/>
      </w:r>
      <w:r>
        <w:rPr>
          <w:rFonts w:eastAsia="宋体"/>
          <w:sz w:val="28"/>
          <w:szCs w:val="28"/>
        </w:rPr>
        <w:instrText xml:space="preserve"> PAGEREF _Toc96528548 \h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"_Toc96528549" </w:instrText>
      </w:r>
      <w:r>
        <w:fldChar w:fldCharType="separate"/>
      </w:r>
      <w:r>
        <w:rPr>
          <w:rStyle w:val="24"/>
          <w:rFonts w:eastAsia="宋体"/>
          <w:color w:val="auto"/>
          <w:sz w:val="28"/>
          <w:szCs w:val="28"/>
        </w:rPr>
        <w:t>第一章 “十三五”期间成品油零售体系发展情况</w:t>
      </w:r>
      <w:r>
        <w:rPr>
          <w:rFonts w:eastAsia="宋体"/>
          <w:sz w:val="28"/>
          <w:szCs w:val="28"/>
        </w:rPr>
        <w:tab/>
      </w:r>
      <w:r>
        <w:rPr>
          <w:rFonts w:eastAsia="宋体"/>
          <w:sz w:val="28"/>
          <w:szCs w:val="28"/>
        </w:rPr>
        <w:fldChar w:fldCharType="begin"/>
      </w:r>
      <w:r>
        <w:rPr>
          <w:rFonts w:eastAsia="宋体"/>
          <w:sz w:val="28"/>
          <w:szCs w:val="28"/>
        </w:rPr>
        <w:instrText xml:space="preserve"> PAGEREF _Toc96528549 \h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"_Toc96528550" </w:instrText>
      </w:r>
      <w:r>
        <w:fldChar w:fldCharType="separate"/>
      </w:r>
      <w:r>
        <w:rPr>
          <w:rStyle w:val="24"/>
          <w:rFonts w:eastAsia="宋体"/>
          <w:color w:val="auto"/>
          <w:sz w:val="28"/>
          <w:szCs w:val="28"/>
        </w:rPr>
        <w:t>1.1经济社会发展状况</w:t>
      </w:r>
      <w:r>
        <w:rPr>
          <w:rFonts w:eastAsia="宋体"/>
          <w:sz w:val="28"/>
          <w:szCs w:val="28"/>
        </w:rPr>
        <w:tab/>
      </w:r>
      <w:r>
        <w:rPr>
          <w:rFonts w:eastAsia="宋体"/>
          <w:sz w:val="28"/>
          <w:szCs w:val="28"/>
        </w:rPr>
        <w:fldChar w:fldCharType="begin"/>
      </w:r>
      <w:r>
        <w:rPr>
          <w:rFonts w:eastAsia="宋体"/>
          <w:sz w:val="28"/>
          <w:szCs w:val="28"/>
        </w:rPr>
        <w:instrText xml:space="preserve"> PAGEREF _Toc96528550 \h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"_Toc96528551" </w:instrText>
      </w:r>
      <w:r>
        <w:fldChar w:fldCharType="separate"/>
      </w:r>
      <w:r>
        <w:rPr>
          <w:rStyle w:val="24"/>
          <w:rFonts w:eastAsia="宋体"/>
          <w:color w:val="auto"/>
          <w:sz w:val="28"/>
          <w:szCs w:val="28"/>
        </w:rPr>
        <w:t>1.2交通及机动车发展状况</w:t>
      </w:r>
      <w:r>
        <w:rPr>
          <w:rFonts w:eastAsia="宋体"/>
          <w:sz w:val="28"/>
          <w:szCs w:val="28"/>
        </w:rPr>
        <w:tab/>
      </w:r>
      <w:r>
        <w:rPr>
          <w:rFonts w:eastAsia="宋体"/>
          <w:sz w:val="28"/>
          <w:szCs w:val="28"/>
        </w:rPr>
        <w:fldChar w:fldCharType="begin"/>
      </w:r>
      <w:r>
        <w:rPr>
          <w:rFonts w:eastAsia="宋体"/>
          <w:sz w:val="28"/>
          <w:szCs w:val="28"/>
        </w:rPr>
        <w:instrText xml:space="preserve"> PAGEREF _Toc96528551 \h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"_Toc96528552" </w:instrText>
      </w:r>
      <w:r>
        <w:fldChar w:fldCharType="separate"/>
      </w:r>
      <w:r>
        <w:rPr>
          <w:rStyle w:val="24"/>
          <w:rFonts w:eastAsia="宋体"/>
          <w:color w:val="auto"/>
          <w:sz w:val="28"/>
          <w:szCs w:val="28"/>
        </w:rPr>
        <w:t>1.3成品油零售体系发展状况</w:t>
      </w:r>
      <w:r>
        <w:rPr>
          <w:rFonts w:eastAsia="宋体"/>
          <w:sz w:val="28"/>
          <w:szCs w:val="28"/>
        </w:rPr>
        <w:tab/>
      </w:r>
      <w:r>
        <w:rPr>
          <w:rFonts w:eastAsia="宋体"/>
          <w:sz w:val="28"/>
          <w:szCs w:val="28"/>
        </w:rPr>
        <w:fldChar w:fldCharType="begin"/>
      </w:r>
      <w:r>
        <w:rPr>
          <w:rFonts w:eastAsia="宋体"/>
          <w:sz w:val="28"/>
          <w:szCs w:val="28"/>
        </w:rPr>
        <w:instrText xml:space="preserve"> PAGEREF _Toc96528552 \h </w:instrText>
      </w:r>
      <w:r>
        <w:rPr>
          <w:rFonts w:eastAsia="宋体"/>
          <w:sz w:val="28"/>
          <w:szCs w:val="28"/>
        </w:rPr>
        <w:fldChar w:fldCharType="separate"/>
      </w:r>
      <w:r>
        <w:rPr>
          <w:rFonts w:eastAsia="宋体"/>
          <w:sz w:val="28"/>
          <w:szCs w:val="28"/>
        </w:rPr>
        <w:t>4</w:t>
      </w:r>
      <w:r>
        <w:rPr>
          <w:rFonts w:eastAsia="宋体"/>
          <w:sz w:val="28"/>
          <w:szCs w:val="28"/>
        </w:rPr>
        <w:fldChar w:fldCharType="end"/>
      </w:r>
      <w:r>
        <w:rPr>
          <w:rFonts w:eastAsia="宋体"/>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"_Toc96528553" </w:instrText>
      </w:r>
      <w:r>
        <w:fldChar w:fldCharType="separate"/>
      </w:r>
      <w:r>
        <w:rPr>
          <w:rStyle w:val="24"/>
          <w:color w:val="auto"/>
          <w:sz w:val="28"/>
          <w:szCs w:val="28"/>
        </w:rPr>
        <w:t>1.3.1成品油销售量及增长情况</w:t>
      </w:r>
      <w:r>
        <w:rPr>
          <w:sz w:val="28"/>
          <w:szCs w:val="28"/>
        </w:rPr>
        <w:tab/>
      </w:r>
      <w:r>
        <w:rPr>
          <w:sz w:val="28"/>
          <w:szCs w:val="28"/>
        </w:rPr>
        <w:fldChar w:fldCharType="begin"/>
      </w:r>
      <w:r>
        <w:rPr>
          <w:sz w:val="28"/>
          <w:szCs w:val="28"/>
        </w:rPr>
        <w:instrText xml:space="preserve"> PAGEREF _Toc96528553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"_Toc96528554" </w:instrText>
      </w:r>
      <w:r>
        <w:fldChar w:fldCharType="separate"/>
      </w:r>
      <w:r>
        <w:rPr>
          <w:rStyle w:val="24"/>
          <w:color w:val="auto"/>
          <w:sz w:val="28"/>
          <w:szCs w:val="28"/>
        </w:rPr>
        <w:t>1.3.2成品油企业基本情况</w:t>
      </w:r>
      <w:r>
        <w:rPr>
          <w:sz w:val="28"/>
          <w:szCs w:val="28"/>
        </w:rPr>
        <w:tab/>
      </w:r>
      <w:r>
        <w:rPr>
          <w:sz w:val="28"/>
          <w:szCs w:val="28"/>
        </w:rPr>
        <w:fldChar w:fldCharType="begin"/>
      </w:r>
      <w:r>
        <w:rPr>
          <w:sz w:val="28"/>
          <w:szCs w:val="28"/>
        </w:rPr>
        <w:instrText xml:space="preserve"> PAGEREF _Toc96528554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"_Toc96528555" </w:instrText>
      </w:r>
      <w:r>
        <w:fldChar w:fldCharType="separate"/>
      </w:r>
      <w:r>
        <w:rPr>
          <w:rStyle w:val="24"/>
          <w:color w:val="auto"/>
          <w:sz w:val="28"/>
          <w:szCs w:val="28"/>
        </w:rPr>
        <w:t>1.3.3成品油加油站现状情况</w:t>
      </w:r>
      <w:r>
        <w:rPr>
          <w:sz w:val="28"/>
          <w:szCs w:val="28"/>
        </w:rPr>
        <w:tab/>
      </w:r>
      <w:r>
        <w:rPr>
          <w:sz w:val="28"/>
          <w:szCs w:val="28"/>
        </w:rPr>
        <w:fldChar w:fldCharType="begin"/>
      </w:r>
      <w:r>
        <w:rPr>
          <w:sz w:val="28"/>
          <w:szCs w:val="28"/>
        </w:rPr>
        <w:instrText xml:space="preserve"> PAGEREF _Toc96528555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"_Toc96528556" </w:instrText>
      </w:r>
      <w:r>
        <w:fldChar w:fldCharType="separate"/>
      </w:r>
      <w:r>
        <w:rPr>
          <w:rStyle w:val="24"/>
          <w:color w:val="auto"/>
          <w:sz w:val="28"/>
          <w:szCs w:val="28"/>
        </w:rPr>
        <w:t>1.3.4成品油零售加油站建设存在的主要问题</w:t>
      </w:r>
      <w:r>
        <w:rPr>
          <w:sz w:val="28"/>
          <w:szCs w:val="28"/>
        </w:rPr>
        <w:tab/>
      </w:r>
      <w:r>
        <w:rPr>
          <w:sz w:val="28"/>
          <w:szCs w:val="28"/>
        </w:rPr>
        <w:fldChar w:fldCharType="begin"/>
      </w:r>
      <w:r>
        <w:rPr>
          <w:sz w:val="28"/>
          <w:szCs w:val="28"/>
        </w:rPr>
        <w:instrText xml:space="preserve"> PAGEREF _Toc96528556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"_Toc96528557" </w:instrText>
      </w:r>
      <w:r>
        <w:fldChar w:fldCharType="separate"/>
      </w:r>
      <w:r>
        <w:rPr>
          <w:rStyle w:val="24"/>
          <w:rFonts w:eastAsia="宋体"/>
          <w:color w:val="auto"/>
          <w:sz w:val="28"/>
          <w:szCs w:val="28"/>
        </w:rPr>
        <w:t>第二章 “十四五”发展规划概述</w:t>
      </w:r>
      <w:r>
        <w:rPr>
          <w:rFonts w:eastAsia="宋体"/>
          <w:sz w:val="28"/>
          <w:szCs w:val="28"/>
        </w:rPr>
        <w:tab/>
      </w:r>
      <w:r>
        <w:rPr>
          <w:rFonts w:eastAsia="宋体"/>
          <w:sz w:val="28"/>
          <w:szCs w:val="28"/>
        </w:rPr>
        <w:fldChar w:fldCharType="begin"/>
      </w:r>
      <w:r>
        <w:rPr>
          <w:rFonts w:eastAsia="宋体"/>
          <w:sz w:val="28"/>
          <w:szCs w:val="28"/>
        </w:rPr>
        <w:instrText xml:space="preserve"> PAGEREF _Toc96528557 \h </w:instrText>
      </w:r>
      <w:r>
        <w:rPr>
          <w:rFonts w:eastAsia="宋体"/>
          <w:sz w:val="28"/>
          <w:szCs w:val="28"/>
        </w:rPr>
        <w:fldChar w:fldCharType="separate"/>
      </w:r>
      <w:r>
        <w:rPr>
          <w:rFonts w:eastAsia="宋体"/>
          <w:sz w:val="28"/>
          <w:szCs w:val="28"/>
        </w:rPr>
        <w:t>8</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"_Toc96528558" </w:instrText>
      </w:r>
      <w:r>
        <w:fldChar w:fldCharType="separate"/>
      </w:r>
      <w:r>
        <w:rPr>
          <w:rStyle w:val="24"/>
          <w:rFonts w:eastAsia="宋体"/>
          <w:color w:val="auto"/>
          <w:sz w:val="28"/>
          <w:szCs w:val="28"/>
        </w:rPr>
        <w:t>2.1规划依据</w:t>
      </w:r>
      <w:r>
        <w:rPr>
          <w:rFonts w:eastAsia="宋体"/>
          <w:sz w:val="28"/>
          <w:szCs w:val="28"/>
        </w:rPr>
        <w:tab/>
      </w:r>
      <w:r>
        <w:rPr>
          <w:rFonts w:eastAsia="宋体"/>
          <w:sz w:val="28"/>
          <w:szCs w:val="28"/>
        </w:rPr>
        <w:fldChar w:fldCharType="begin"/>
      </w:r>
      <w:r>
        <w:rPr>
          <w:rFonts w:eastAsia="宋体"/>
          <w:sz w:val="28"/>
          <w:szCs w:val="28"/>
        </w:rPr>
        <w:instrText xml:space="preserve"> PAGEREF _Toc96528558 \h </w:instrText>
      </w:r>
      <w:r>
        <w:rPr>
          <w:rFonts w:eastAsia="宋体"/>
          <w:sz w:val="28"/>
          <w:szCs w:val="28"/>
        </w:rPr>
        <w:fldChar w:fldCharType="separate"/>
      </w:r>
      <w:r>
        <w:rPr>
          <w:rFonts w:eastAsia="宋体"/>
          <w:sz w:val="28"/>
          <w:szCs w:val="28"/>
        </w:rPr>
        <w:t>8</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"_Toc96528559" </w:instrText>
      </w:r>
      <w:r>
        <w:fldChar w:fldCharType="separate"/>
      </w:r>
      <w:r>
        <w:rPr>
          <w:rStyle w:val="24"/>
          <w:rFonts w:eastAsia="宋体"/>
          <w:color w:val="auto"/>
          <w:sz w:val="28"/>
          <w:szCs w:val="28"/>
        </w:rPr>
        <w:t>2.2规划的指导思想与原则</w:t>
      </w:r>
      <w:r>
        <w:rPr>
          <w:rFonts w:eastAsia="宋体"/>
          <w:sz w:val="28"/>
          <w:szCs w:val="28"/>
        </w:rPr>
        <w:tab/>
      </w:r>
      <w:r>
        <w:rPr>
          <w:rFonts w:eastAsia="宋体"/>
          <w:sz w:val="28"/>
          <w:szCs w:val="28"/>
        </w:rPr>
        <w:fldChar w:fldCharType="begin"/>
      </w:r>
      <w:r>
        <w:rPr>
          <w:rFonts w:eastAsia="宋体"/>
          <w:sz w:val="28"/>
          <w:szCs w:val="28"/>
        </w:rPr>
        <w:instrText xml:space="preserve"> PAGEREF _Toc96528559 \h </w:instrText>
      </w:r>
      <w:r>
        <w:rPr>
          <w:rFonts w:eastAsia="宋体"/>
          <w:sz w:val="28"/>
          <w:szCs w:val="28"/>
        </w:rPr>
        <w:fldChar w:fldCharType="separate"/>
      </w:r>
      <w:r>
        <w:rPr>
          <w:rFonts w:eastAsia="宋体"/>
          <w:sz w:val="28"/>
          <w:szCs w:val="28"/>
        </w:rPr>
        <w:t>9</w:t>
      </w:r>
      <w:r>
        <w:rPr>
          <w:rFonts w:eastAsia="宋体"/>
          <w:sz w:val="28"/>
          <w:szCs w:val="28"/>
        </w:rPr>
        <w:fldChar w:fldCharType="end"/>
      </w:r>
      <w:r>
        <w:rPr>
          <w:rFonts w:eastAsia="宋体"/>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"_Toc96528560" </w:instrText>
      </w:r>
      <w:r>
        <w:fldChar w:fldCharType="separate"/>
      </w:r>
      <w:r>
        <w:rPr>
          <w:rStyle w:val="24"/>
          <w:color w:val="auto"/>
          <w:sz w:val="28"/>
          <w:szCs w:val="28"/>
        </w:rPr>
        <w:t>2.2.1 指导思想</w:t>
      </w:r>
      <w:r>
        <w:rPr>
          <w:sz w:val="28"/>
          <w:szCs w:val="28"/>
        </w:rPr>
        <w:tab/>
      </w:r>
      <w:r>
        <w:rPr>
          <w:sz w:val="28"/>
          <w:szCs w:val="28"/>
        </w:rPr>
        <w:fldChar w:fldCharType="begin"/>
      </w:r>
      <w:r>
        <w:rPr>
          <w:sz w:val="28"/>
          <w:szCs w:val="28"/>
        </w:rPr>
        <w:instrText xml:space="preserve"> PAGEREF _Toc96528560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"_Toc96528561" </w:instrText>
      </w:r>
      <w:r>
        <w:fldChar w:fldCharType="separate"/>
      </w:r>
      <w:r>
        <w:rPr>
          <w:rStyle w:val="24"/>
          <w:color w:val="auto"/>
          <w:sz w:val="28"/>
          <w:szCs w:val="28"/>
        </w:rPr>
        <w:t>2.2.2 规划原则</w:t>
      </w:r>
      <w:r>
        <w:rPr>
          <w:sz w:val="28"/>
          <w:szCs w:val="28"/>
        </w:rPr>
        <w:tab/>
      </w:r>
      <w:r>
        <w:rPr>
          <w:sz w:val="28"/>
          <w:szCs w:val="28"/>
        </w:rPr>
        <w:fldChar w:fldCharType="begin"/>
      </w:r>
      <w:r>
        <w:rPr>
          <w:sz w:val="28"/>
          <w:szCs w:val="28"/>
        </w:rPr>
        <w:instrText xml:space="preserve"> PAGEREF _Toc96528561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"_Toc96528562" </w:instrText>
      </w:r>
      <w:r>
        <w:fldChar w:fldCharType="separate"/>
      </w:r>
      <w:r>
        <w:rPr>
          <w:rStyle w:val="24"/>
          <w:rFonts w:eastAsia="宋体"/>
          <w:color w:val="auto"/>
          <w:sz w:val="28"/>
          <w:szCs w:val="28"/>
        </w:rPr>
        <w:t>2.3规划的范围与期限</w:t>
      </w:r>
      <w:r>
        <w:rPr>
          <w:rFonts w:eastAsia="宋体"/>
          <w:sz w:val="28"/>
          <w:szCs w:val="28"/>
        </w:rPr>
        <w:tab/>
      </w:r>
      <w:r>
        <w:rPr>
          <w:rFonts w:eastAsia="宋体"/>
          <w:sz w:val="28"/>
          <w:szCs w:val="28"/>
        </w:rPr>
        <w:fldChar w:fldCharType="begin"/>
      </w:r>
      <w:r>
        <w:rPr>
          <w:rFonts w:eastAsia="宋体"/>
          <w:sz w:val="28"/>
          <w:szCs w:val="28"/>
        </w:rPr>
        <w:instrText xml:space="preserve"> PAGEREF _Toc96528562 \h </w:instrText>
      </w:r>
      <w:r>
        <w:rPr>
          <w:rFonts w:eastAsia="宋体"/>
          <w:sz w:val="28"/>
          <w:szCs w:val="28"/>
        </w:rPr>
        <w:fldChar w:fldCharType="separate"/>
      </w:r>
      <w:r>
        <w:rPr>
          <w:rFonts w:eastAsia="宋体"/>
          <w:sz w:val="28"/>
          <w:szCs w:val="28"/>
        </w:rPr>
        <w:t>10</w:t>
      </w:r>
      <w:r>
        <w:rPr>
          <w:rFonts w:eastAsia="宋体"/>
          <w:sz w:val="28"/>
          <w:szCs w:val="28"/>
        </w:rPr>
        <w:fldChar w:fldCharType="end"/>
      </w:r>
      <w:r>
        <w:rPr>
          <w:rFonts w:eastAsia="宋体"/>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"_Toc96528563" </w:instrText>
      </w:r>
      <w:r>
        <w:fldChar w:fldCharType="separate"/>
      </w:r>
      <w:r>
        <w:rPr>
          <w:rStyle w:val="24"/>
          <w:color w:val="auto"/>
          <w:sz w:val="28"/>
          <w:szCs w:val="28"/>
        </w:rPr>
        <w:t>2.3.1 规划范围</w:t>
      </w:r>
      <w:r>
        <w:rPr>
          <w:sz w:val="28"/>
          <w:szCs w:val="28"/>
        </w:rPr>
        <w:tab/>
      </w:r>
      <w:r>
        <w:rPr>
          <w:sz w:val="28"/>
          <w:szCs w:val="28"/>
        </w:rPr>
        <w:fldChar w:fldCharType="begin"/>
      </w:r>
      <w:r>
        <w:rPr>
          <w:sz w:val="28"/>
          <w:szCs w:val="28"/>
        </w:rPr>
        <w:instrText xml:space="preserve"> PAGEREF _Toc96528563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"_Toc96528564" </w:instrText>
      </w:r>
      <w:r>
        <w:fldChar w:fldCharType="separate"/>
      </w:r>
      <w:r>
        <w:rPr>
          <w:rStyle w:val="24"/>
          <w:color w:val="auto"/>
          <w:sz w:val="28"/>
          <w:szCs w:val="28"/>
        </w:rPr>
        <w:t>2.3.2 规划期限</w:t>
      </w:r>
      <w:r>
        <w:rPr>
          <w:sz w:val="28"/>
          <w:szCs w:val="28"/>
        </w:rPr>
        <w:tab/>
      </w:r>
      <w:r>
        <w:rPr>
          <w:sz w:val="28"/>
          <w:szCs w:val="28"/>
        </w:rPr>
        <w:fldChar w:fldCharType="begin"/>
      </w:r>
      <w:r>
        <w:rPr>
          <w:sz w:val="28"/>
          <w:szCs w:val="28"/>
        </w:rPr>
        <w:instrText xml:space="preserve"> PAGEREF _Toc96528564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"_Toc96528565" </w:instrText>
      </w:r>
      <w:r>
        <w:fldChar w:fldCharType="separate"/>
      </w:r>
      <w:r>
        <w:rPr>
          <w:rStyle w:val="24"/>
          <w:rFonts w:eastAsia="宋体"/>
          <w:color w:val="auto"/>
          <w:sz w:val="28"/>
          <w:szCs w:val="28"/>
        </w:rPr>
        <w:t>第三章 成品油零售加油站需求预测</w:t>
      </w:r>
      <w:r>
        <w:rPr>
          <w:rFonts w:eastAsia="宋体"/>
          <w:sz w:val="28"/>
          <w:szCs w:val="28"/>
        </w:rPr>
        <w:tab/>
      </w:r>
      <w:r>
        <w:rPr>
          <w:rFonts w:eastAsia="宋体"/>
          <w:sz w:val="28"/>
          <w:szCs w:val="28"/>
        </w:rPr>
        <w:fldChar w:fldCharType="begin"/>
      </w:r>
      <w:r>
        <w:rPr>
          <w:rFonts w:eastAsia="宋体"/>
          <w:sz w:val="28"/>
          <w:szCs w:val="28"/>
        </w:rPr>
        <w:instrText xml:space="preserve"> PAGEREF _Toc96528565 \h </w:instrText>
      </w:r>
      <w:r>
        <w:rPr>
          <w:rFonts w:eastAsia="宋体"/>
          <w:sz w:val="28"/>
          <w:szCs w:val="28"/>
        </w:rPr>
        <w:fldChar w:fldCharType="separate"/>
      </w:r>
      <w:r>
        <w:rPr>
          <w:rFonts w:eastAsia="宋体"/>
          <w:sz w:val="28"/>
          <w:szCs w:val="28"/>
        </w:rPr>
        <w:t>12</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"_Toc96528566" </w:instrText>
      </w:r>
      <w:r>
        <w:fldChar w:fldCharType="separate"/>
      </w:r>
      <w:r>
        <w:rPr>
          <w:rStyle w:val="24"/>
          <w:rFonts w:eastAsia="宋体"/>
          <w:color w:val="auto"/>
          <w:sz w:val="28"/>
          <w:szCs w:val="28"/>
        </w:rPr>
        <w:t>3.1经济社会发展趋势</w:t>
      </w:r>
      <w:r>
        <w:rPr>
          <w:rFonts w:eastAsia="宋体"/>
          <w:sz w:val="28"/>
          <w:szCs w:val="28"/>
        </w:rPr>
        <w:tab/>
      </w:r>
      <w:r>
        <w:rPr>
          <w:rFonts w:eastAsia="宋体"/>
          <w:sz w:val="28"/>
          <w:szCs w:val="28"/>
        </w:rPr>
        <w:fldChar w:fldCharType="begin"/>
      </w:r>
      <w:r>
        <w:rPr>
          <w:rFonts w:eastAsia="宋体"/>
          <w:sz w:val="28"/>
          <w:szCs w:val="28"/>
        </w:rPr>
        <w:instrText xml:space="preserve"> PAGEREF _Toc96528566 \h </w:instrText>
      </w:r>
      <w:r>
        <w:rPr>
          <w:rFonts w:eastAsia="宋体"/>
          <w:sz w:val="28"/>
          <w:szCs w:val="28"/>
        </w:rPr>
        <w:fldChar w:fldCharType="separate"/>
      </w:r>
      <w:r>
        <w:rPr>
          <w:rFonts w:eastAsia="宋体"/>
          <w:sz w:val="28"/>
          <w:szCs w:val="28"/>
        </w:rPr>
        <w:t>12</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"_Toc96528567" </w:instrText>
      </w:r>
      <w:r>
        <w:fldChar w:fldCharType="separate"/>
      </w:r>
      <w:r>
        <w:rPr>
          <w:rStyle w:val="24"/>
          <w:rFonts w:eastAsia="宋体"/>
          <w:color w:val="auto"/>
          <w:sz w:val="28"/>
          <w:szCs w:val="28"/>
        </w:rPr>
        <w:t>3.2道路交通发展规划</w:t>
      </w:r>
      <w:r>
        <w:rPr>
          <w:rFonts w:eastAsia="宋体"/>
          <w:sz w:val="28"/>
          <w:szCs w:val="28"/>
        </w:rPr>
        <w:tab/>
      </w:r>
      <w:r>
        <w:rPr>
          <w:rFonts w:eastAsia="宋体"/>
          <w:sz w:val="28"/>
          <w:szCs w:val="28"/>
        </w:rPr>
        <w:fldChar w:fldCharType="begin"/>
      </w:r>
      <w:r>
        <w:rPr>
          <w:rFonts w:eastAsia="宋体"/>
          <w:sz w:val="28"/>
          <w:szCs w:val="28"/>
        </w:rPr>
        <w:instrText xml:space="preserve"> PAGEREF _Toc96528567 \h </w:instrText>
      </w:r>
      <w:r>
        <w:rPr>
          <w:rFonts w:eastAsia="宋体"/>
          <w:sz w:val="28"/>
          <w:szCs w:val="28"/>
        </w:rPr>
        <w:fldChar w:fldCharType="separate"/>
      </w:r>
      <w:r>
        <w:rPr>
          <w:rFonts w:eastAsia="宋体"/>
          <w:sz w:val="28"/>
          <w:szCs w:val="28"/>
        </w:rPr>
        <w:t>13</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"_Toc96528568" </w:instrText>
      </w:r>
      <w:r>
        <w:fldChar w:fldCharType="separate"/>
      </w:r>
      <w:r>
        <w:rPr>
          <w:rStyle w:val="24"/>
          <w:rFonts w:eastAsia="宋体"/>
          <w:color w:val="auto"/>
          <w:sz w:val="28"/>
          <w:szCs w:val="28"/>
        </w:rPr>
        <w:t>3.3能源消费发展趋势分析</w:t>
      </w:r>
      <w:r>
        <w:rPr>
          <w:rFonts w:eastAsia="宋体"/>
          <w:sz w:val="28"/>
          <w:szCs w:val="28"/>
        </w:rPr>
        <w:tab/>
      </w:r>
      <w:r>
        <w:rPr>
          <w:rFonts w:eastAsia="宋体"/>
          <w:sz w:val="28"/>
          <w:szCs w:val="28"/>
        </w:rPr>
        <w:fldChar w:fldCharType="begin"/>
      </w:r>
      <w:r>
        <w:rPr>
          <w:rFonts w:eastAsia="宋体"/>
          <w:sz w:val="28"/>
          <w:szCs w:val="28"/>
        </w:rPr>
        <w:instrText xml:space="preserve"> PAGEREF _Toc96528568 \h </w:instrText>
      </w:r>
      <w:r>
        <w:rPr>
          <w:rFonts w:eastAsia="宋体"/>
          <w:sz w:val="28"/>
          <w:szCs w:val="28"/>
        </w:rPr>
        <w:fldChar w:fldCharType="separate"/>
      </w:r>
      <w:r>
        <w:rPr>
          <w:rFonts w:eastAsia="宋体"/>
          <w:sz w:val="28"/>
          <w:szCs w:val="28"/>
        </w:rPr>
        <w:t>15</w:t>
      </w:r>
      <w:r>
        <w:rPr>
          <w:rFonts w:eastAsia="宋体"/>
          <w:sz w:val="28"/>
          <w:szCs w:val="28"/>
        </w:rPr>
        <w:fldChar w:fldCharType="end"/>
      </w:r>
      <w:r>
        <w:rPr>
          <w:rFonts w:eastAsia="宋体"/>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"_Toc96528569" </w:instrText>
      </w:r>
      <w:r>
        <w:fldChar w:fldCharType="separate"/>
      </w:r>
      <w:r>
        <w:rPr>
          <w:rStyle w:val="24"/>
          <w:color w:val="auto"/>
          <w:sz w:val="28"/>
          <w:szCs w:val="28"/>
        </w:rPr>
        <w:t>3.3.1 成品油市场将持续稳步增长</w:t>
      </w:r>
      <w:r>
        <w:rPr>
          <w:sz w:val="28"/>
          <w:szCs w:val="28"/>
        </w:rPr>
        <w:tab/>
      </w:r>
      <w:r>
        <w:rPr>
          <w:sz w:val="28"/>
          <w:szCs w:val="28"/>
        </w:rPr>
        <w:fldChar w:fldCharType="begin"/>
      </w:r>
      <w:r>
        <w:rPr>
          <w:sz w:val="28"/>
          <w:szCs w:val="28"/>
        </w:rPr>
        <w:instrText xml:space="preserve"> PAGEREF _Toc96528569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"_Toc96528570" </w:instrText>
      </w:r>
      <w:r>
        <w:fldChar w:fldCharType="separate"/>
      </w:r>
      <w:r>
        <w:rPr>
          <w:rStyle w:val="24"/>
          <w:color w:val="auto"/>
          <w:sz w:val="28"/>
          <w:szCs w:val="28"/>
        </w:rPr>
        <w:t>3.3.2能源消费结构不断优化调整</w:t>
      </w:r>
      <w:r>
        <w:rPr>
          <w:sz w:val="28"/>
          <w:szCs w:val="28"/>
        </w:rPr>
        <w:tab/>
      </w:r>
      <w:r>
        <w:rPr>
          <w:sz w:val="28"/>
          <w:szCs w:val="28"/>
        </w:rPr>
        <w:fldChar w:fldCharType="begin"/>
      </w:r>
      <w:r>
        <w:rPr>
          <w:sz w:val="28"/>
          <w:szCs w:val="28"/>
        </w:rPr>
        <w:instrText xml:space="preserve"> PAGEREF _Toc96528570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"_Toc96528571" </w:instrText>
      </w:r>
      <w:r>
        <w:fldChar w:fldCharType="separate"/>
      </w:r>
      <w:r>
        <w:rPr>
          <w:rStyle w:val="24"/>
          <w:color w:val="auto"/>
          <w:sz w:val="28"/>
          <w:szCs w:val="28"/>
        </w:rPr>
        <w:t>3.3.3机动车能源利用形式仍将以汽柴油为主</w:t>
      </w:r>
      <w:r>
        <w:rPr>
          <w:sz w:val="28"/>
          <w:szCs w:val="28"/>
        </w:rPr>
        <w:tab/>
      </w:r>
      <w:r>
        <w:rPr>
          <w:sz w:val="28"/>
          <w:szCs w:val="28"/>
        </w:rPr>
        <w:fldChar w:fldCharType="begin"/>
      </w:r>
      <w:r>
        <w:rPr>
          <w:sz w:val="28"/>
          <w:szCs w:val="28"/>
        </w:rPr>
        <w:instrText xml:space="preserve"> PAGEREF _Toc96528571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"_Toc96528572" </w:instrText>
      </w:r>
      <w:r>
        <w:fldChar w:fldCharType="separate"/>
      </w:r>
      <w:r>
        <w:rPr>
          <w:rStyle w:val="24"/>
          <w:rFonts w:eastAsia="宋体"/>
          <w:color w:val="auto"/>
          <w:sz w:val="28"/>
          <w:szCs w:val="28"/>
        </w:rPr>
        <w:t>3.4成品油零售加油站总量预测</w:t>
      </w:r>
      <w:r>
        <w:rPr>
          <w:rFonts w:eastAsia="宋体"/>
          <w:sz w:val="28"/>
          <w:szCs w:val="28"/>
        </w:rPr>
        <w:tab/>
      </w:r>
      <w:r>
        <w:rPr>
          <w:rFonts w:eastAsia="宋体"/>
          <w:sz w:val="28"/>
          <w:szCs w:val="28"/>
        </w:rPr>
        <w:fldChar w:fldCharType="begin"/>
      </w:r>
      <w:r>
        <w:rPr>
          <w:rFonts w:eastAsia="宋体"/>
          <w:sz w:val="28"/>
          <w:szCs w:val="28"/>
        </w:rPr>
        <w:instrText xml:space="preserve"> PAGEREF _Toc96528572 \h </w:instrText>
      </w:r>
      <w:r>
        <w:rPr>
          <w:rFonts w:eastAsia="宋体"/>
          <w:sz w:val="28"/>
          <w:szCs w:val="28"/>
        </w:rPr>
        <w:fldChar w:fldCharType="separate"/>
      </w:r>
      <w:r>
        <w:rPr>
          <w:rFonts w:eastAsia="宋体"/>
          <w:sz w:val="28"/>
          <w:szCs w:val="28"/>
        </w:rPr>
        <w:t>17</w:t>
      </w:r>
      <w:r>
        <w:rPr>
          <w:rFonts w:eastAsia="宋体"/>
          <w:sz w:val="28"/>
          <w:szCs w:val="28"/>
        </w:rPr>
        <w:fldChar w:fldCharType="end"/>
      </w:r>
      <w:r>
        <w:rPr>
          <w:rFonts w:eastAsia="宋体"/>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"_Toc96528573" </w:instrText>
      </w:r>
      <w:r>
        <w:fldChar w:fldCharType="separate"/>
      </w:r>
      <w:r>
        <w:rPr>
          <w:rStyle w:val="24"/>
          <w:color w:val="auto"/>
          <w:sz w:val="28"/>
          <w:szCs w:val="28"/>
        </w:rPr>
        <w:t>3.4.1机动车保有量推算</w:t>
      </w:r>
      <w:r>
        <w:rPr>
          <w:sz w:val="28"/>
          <w:szCs w:val="28"/>
        </w:rPr>
        <w:tab/>
      </w:r>
      <w:r>
        <w:rPr>
          <w:sz w:val="28"/>
          <w:szCs w:val="28"/>
        </w:rPr>
        <w:fldChar w:fldCharType="begin"/>
      </w:r>
      <w:r>
        <w:rPr>
          <w:sz w:val="28"/>
          <w:szCs w:val="28"/>
        </w:rPr>
        <w:instrText xml:space="preserve"> PAGEREF _Toc96528573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"_Toc96528574" </w:instrText>
      </w:r>
      <w:r>
        <w:fldChar w:fldCharType="separate"/>
      </w:r>
      <w:r>
        <w:rPr>
          <w:rStyle w:val="24"/>
          <w:color w:val="auto"/>
          <w:sz w:val="28"/>
          <w:szCs w:val="28"/>
        </w:rPr>
        <w:t>3.4.2机动车燃油需求总量</w:t>
      </w:r>
      <w:r>
        <w:rPr>
          <w:sz w:val="28"/>
          <w:szCs w:val="28"/>
        </w:rPr>
        <w:tab/>
      </w:r>
      <w:r>
        <w:rPr>
          <w:sz w:val="28"/>
          <w:szCs w:val="28"/>
        </w:rPr>
        <w:fldChar w:fldCharType="begin"/>
      </w:r>
      <w:r>
        <w:rPr>
          <w:sz w:val="28"/>
          <w:szCs w:val="28"/>
        </w:rPr>
        <w:instrText xml:space="preserve"> PAGEREF _Toc96528574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"_Toc96528575" </w:instrText>
      </w:r>
      <w:r>
        <w:fldChar w:fldCharType="separate"/>
      </w:r>
      <w:r>
        <w:rPr>
          <w:rStyle w:val="24"/>
          <w:color w:val="auto"/>
          <w:sz w:val="28"/>
          <w:szCs w:val="28"/>
        </w:rPr>
        <w:t>3.4.3成品油零售加油站总量预测</w:t>
      </w:r>
      <w:r>
        <w:rPr>
          <w:sz w:val="28"/>
          <w:szCs w:val="28"/>
        </w:rPr>
        <w:tab/>
      </w:r>
      <w:r>
        <w:rPr>
          <w:sz w:val="28"/>
          <w:szCs w:val="28"/>
        </w:rPr>
        <w:fldChar w:fldCharType="begin"/>
      </w:r>
      <w:r>
        <w:rPr>
          <w:sz w:val="28"/>
          <w:szCs w:val="28"/>
        </w:rPr>
        <w:instrText xml:space="preserve"> PAGEREF _Toc96528575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"_Toc96528576" </w:instrText>
      </w:r>
      <w:r>
        <w:fldChar w:fldCharType="separate"/>
      </w:r>
      <w:r>
        <w:rPr>
          <w:rStyle w:val="24"/>
          <w:rFonts w:eastAsia="宋体"/>
          <w:color w:val="auto"/>
          <w:sz w:val="28"/>
          <w:szCs w:val="28"/>
        </w:rPr>
        <w:t>第四章 成品油零售加油站布局规划</w:t>
      </w:r>
      <w:r>
        <w:rPr>
          <w:rFonts w:eastAsia="宋体"/>
          <w:sz w:val="28"/>
          <w:szCs w:val="28"/>
        </w:rPr>
        <w:tab/>
      </w:r>
      <w:r>
        <w:rPr>
          <w:rFonts w:eastAsia="宋体"/>
          <w:sz w:val="28"/>
          <w:szCs w:val="28"/>
        </w:rPr>
        <w:fldChar w:fldCharType="begin"/>
      </w:r>
      <w:r>
        <w:rPr>
          <w:rFonts w:eastAsia="宋体"/>
          <w:sz w:val="28"/>
          <w:szCs w:val="28"/>
        </w:rPr>
        <w:instrText xml:space="preserve"> PAGEREF _Toc96528576 \h </w:instrText>
      </w:r>
      <w:r>
        <w:rPr>
          <w:rFonts w:eastAsia="宋体"/>
          <w:sz w:val="28"/>
          <w:szCs w:val="28"/>
        </w:rPr>
        <w:fldChar w:fldCharType="separate"/>
      </w:r>
      <w:r>
        <w:rPr>
          <w:rFonts w:eastAsia="宋体"/>
          <w:sz w:val="28"/>
          <w:szCs w:val="28"/>
        </w:rPr>
        <w:t>19</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"_Toc96528577" </w:instrText>
      </w:r>
      <w:r>
        <w:fldChar w:fldCharType="separate"/>
      </w:r>
      <w:r>
        <w:rPr>
          <w:rStyle w:val="24"/>
          <w:rFonts w:eastAsia="宋体"/>
          <w:color w:val="auto"/>
          <w:sz w:val="28"/>
          <w:szCs w:val="28"/>
        </w:rPr>
        <w:t>4.1布局原则</w:t>
      </w:r>
      <w:r>
        <w:rPr>
          <w:rFonts w:eastAsia="宋体"/>
          <w:sz w:val="28"/>
          <w:szCs w:val="28"/>
        </w:rPr>
        <w:tab/>
      </w:r>
      <w:r>
        <w:rPr>
          <w:rFonts w:eastAsia="宋体"/>
          <w:sz w:val="28"/>
          <w:szCs w:val="28"/>
        </w:rPr>
        <w:fldChar w:fldCharType="begin"/>
      </w:r>
      <w:r>
        <w:rPr>
          <w:rFonts w:eastAsia="宋体"/>
          <w:sz w:val="28"/>
          <w:szCs w:val="28"/>
        </w:rPr>
        <w:instrText xml:space="preserve"> PAGEREF _Toc96528577 \h </w:instrText>
      </w:r>
      <w:r>
        <w:rPr>
          <w:rFonts w:eastAsia="宋体"/>
          <w:sz w:val="28"/>
          <w:szCs w:val="28"/>
        </w:rPr>
        <w:fldChar w:fldCharType="separate"/>
      </w:r>
      <w:r>
        <w:rPr>
          <w:rFonts w:eastAsia="宋体"/>
          <w:sz w:val="28"/>
          <w:szCs w:val="28"/>
        </w:rPr>
        <w:t>19</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"_Toc96528578" </w:instrText>
      </w:r>
      <w:r>
        <w:fldChar w:fldCharType="separate"/>
      </w:r>
      <w:r>
        <w:rPr>
          <w:rStyle w:val="24"/>
          <w:rFonts w:eastAsia="宋体"/>
          <w:color w:val="auto"/>
          <w:sz w:val="28"/>
          <w:szCs w:val="28"/>
        </w:rPr>
        <w:t>4.2设置标准</w:t>
      </w:r>
      <w:r>
        <w:rPr>
          <w:rFonts w:eastAsia="宋体"/>
          <w:sz w:val="28"/>
          <w:szCs w:val="28"/>
        </w:rPr>
        <w:tab/>
      </w:r>
      <w:r>
        <w:rPr>
          <w:rFonts w:eastAsia="宋体"/>
          <w:sz w:val="28"/>
          <w:szCs w:val="28"/>
        </w:rPr>
        <w:fldChar w:fldCharType="begin"/>
      </w:r>
      <w:r>
        <w:rPr>
          <w:rFonts w:eastAsia="宋体"/>
          <w:sz w:val="28"/>
          <w:szCs w:val="28"/>
        </w:rPr>
        <w:instrText xml:space="preserve"> PAGEREF _Toc96528578 \h </w:instrText>
      </w:r>
      <w:r>
        <w:rPr>
          <w:rFonts w:eastAsia="宋体"/>
          <w:sz w:val="28"/>
          <w:szCs w:val="28"/>
        </w:rPr>
        <w:fldChar w:fldCharType="separate"/>
      </w:r>
      <w:r>
        <w:rPr>
          <w:rFonts w:eastAsia="宋体"/>
          <w:sz w:val="28"/>
          <w:szCs w:val="28"/>
        </w:rPr>
        <w:t>19</w:t>
      </w:r>
      <w:r>
        <w:rPr>
          <w:rFonts w:eastAsia="宋体"/>
          <w:sz w:val="28"/>
          <w:szCs w:val="28"/>
        </w:rPr>
        <w:fldChar w:fldCharType="end"/>
      </w:r>
      <w:r>
        <w:rPr>
          <w:rFonts w:eastAsia="宋体"/>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"_Toc96528579" </w:instrText>
      </w:r>
      <w:r>
        <w:fldChar w:fldCharType="separate"/>
      </w:r>
      <w:r>
        <w:rPr>
          <w:rStyle w:val="24"/>
          <w:color w:val="auto"/>
          <w:sz w:val="28"/>
          <w:szCs w:val="28"/>
        </w:rPr>
        <w:t>4.2.1选址要求</w:t>
      </w:r>
      <w:r>
        <w:rPr>
          <w:sz w:val="28"/>
          <w:szCs w:val="28"/>
        </w:rPr>
        <w:tab/>
      </w:r>
      <w:r>
        <w:rPr>
          <w:sz w:val="28"/>
          <w:szCs w:val="28"/>
        </w:rPr>
        <w:fldChar w:fldCharType="begin"/>
      </w:r>
      <w:r>
        <w:rPr>
          <w:sz w:val="28"/>
          <w:szCs w:val="28"/>
        </w:rPr>
        <w:instrText xml:space="preserve"> PAGEREF _Toc96528579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"_Toc96528580" </w:instrText>
      </w:r>
      <w:r>
        <w:fldChar w:fldCharType="separate"/>
      </w:r>
      <w:r>
        <w:rPr>
          <w:rStyle w:val="24"/>
          <w:color w:val="auto"/>
          <w:sz w:val="28"/>
          <w:szCs w:val="28"/>
        </w:rPr>
        <w:t>4.2.2间距要求</w:t>
      </w:r>
      <w:r>
        <w:rPr>
          <w:sz w:val="28"/>
          <w:szCs w:val="28"/>
        </w:rPr>
        <w:tab/>
      </w:r>
      <w:r>
        <w:rPr>
          <w:sz w:val="28"/>
          <w:szCs w:val="28"/>
        </w:rPr>
        <w:fldChar w:fldCharType="begin"/>
      </w:r>
      <w:r>
        <w:rPr>
          <w:sz w:val="28"/>
          <w:szCs w:val="28"/>
        </w:rPr>
        <w:instrText xml:space="preserve"> PAGEREF _Toc96528580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"_Toc96528581" </w:instrText>
      </w:r>
      <w:r>
        <w:fldChar w:fldCharType="separate"/>
      </w:r>
      <w:r>
        <w:rPr>
          <w:rStyle w:val="24"/>
          <w:rFonts w:eastAsia="宋体"/>
          <w:color w:val="auto"/>
          <w:sz w:val="28"/>
          <w:szCs w:val="28"/>
        </w:rPr>
        <w:t>4.3总体目标</w:t>
      </w:r>
      <w:r>
        <w:rPr>
          <w:rFonts w:eastAsia="宋体"/>
          <w:sz w:val="28"/>
          <w:szCs w:val="28"/>
        </w:rPr>
        <w:tab/>
      </w:r>
      <w:r>
        <w:rPr>
          <w:rFonts w:eastAsia="宋体"/>
          <w:sz w:val="28"/>
          <w:szCs w:val="28"/>
        </w:rPr>
        <w:fldChar w:fldCharType="begin"/>
      </w:r>
      <w:r>
        <w:rPr>
          <w:rFonts w:eastAsia="宋体"/>
          <w:sz w:val="28"/>
          <w:szCs w:val="28"/>
        </w:rPr>
        <w:instrText xml:space="preserve"> PAGEREF _Toc96528581 \h </w:instrText>
      </w:r>
      <w:r>
        <w:rPr>
          <w:rFonts w:eastAsia="宋体"/>
          <w:sz w:val="28"/>
          <w:szCs w:val="28"/>
        </w:rPr>
        <w:fldChar w:fldCharType="separate"/>
      </w:r>
      <w:r>
        <w:rPr>
          <w:rFonts w:eastAsia="宋体"/>
          <w:sz w:val="28"/>
          <w:szCs w:val="28"/>
        </w:rPr>
        <w:t>21</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"_Toc96528582" </w:instrText>
      </w:r>
      <w:r>
        <w:fldChar w:fldCharType="separate"/>
      </w:r>
      <w:r>
        <w:rPr>
          <w:rStyle w:val="24"/>
          <w:rFonts w:eastAsia="宋体"/>
          <w:color w:val="auto"/>
          <w:sz w:val="28"/>
          <w:szCs w:val="28"/>
        </w:rPr>
        <w:t>4.4布局方案</w:t>
      </w:r>
      <w:r>
        <w:rPr>
          <w:rFonts w:eastAsia="宋体"/>
          <w:sz w:val="28"/>
          <w:szCs w:val="28"/>
        </w:rPr>
        <w:tab/>
      </w:r>
      <w:r>
        <w:rPr>
          <w:rFonts w:eastAsia="宋体"/>
          <w:sz w:val="28"/>
          <w:szCs w:val="28"/>
        </w:rPr>
        <w:fldChar w:fldCharType="begin"/>
      </w:r>
      <w:r>
        <w:rPr>
          <w:rFonts w:eastAsia="宋体"/>
          <w:sz w:val="28"/>
          <w:szCs w:val="28"/>
        </w:rPr>
        <w:instrText xml:space="preserve"> PAGEREF _Toc96528582 \h </w:instrText>
      </w:r>
      <w:r>
        <w:rPr>
          <w:rFonts w:eastAsia="宋体"/>
          <w:sz w:val="28"/>
          <w:szCs w:val="28"/>
        </w:rPr>
        <w:fldChar w:fldCharType="separate"/>
      </w:r>
      <w:r>
        <w:rPr>
          <w:rFonts w:eastAsia="宋体"/>
          <w:sz w:val="28"/>
          <w:szCs w:val="28"/>
        </w:rPr>
        <w:t>21</w:t>
      </w:r>
      <w:r>
        <w:rPr>
          <w:rFonts w:eastAsia="宋体"/>
          <w:sz w:val="28"/>
          <w:szCs w:val="28"/>
        </w:rPr>
        <w:fldChar w:fldCharType="end"/>
      </w:r>
      <w:r>
        <w:rPr>
          <w:rFonts w:eastAsia="宋体"/>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"_Toc96528583" </w:instrText>
      </w:r>
      <w:r>
        <w:fldChar w:fldCharType="separate"/>
      </w:r>
      <w:r>
        <w:rPr>
          <w:rStyle w:val="24"/>
          <w:color w:val="auto"/>
          <w:sz w:val="28"/>
          <w:szCs w:val="28"/>
        </w:rPr>
        <w:t>4.4.1 中心城区</w:t>
      </w:r>
      <w:r>
        <w:rPr>
          <w:sz w:val="28"/>
          <w:szCs w:val="28"/>
        </w:rPr>
        <w:tab/>
      </w:r>
      <w:r>
        <w:rPr>
          <w:sz w:val="28"/>
          <w:szCs w:val="28"/>
        </w:rPr>
        <w:fldChar w:fldCharType="begin"/>
      </w:r>
      <w:r>
        <w:rPr>
          <w:sz w:val="28"/>
          <w:szCs w:val="28"/>
        </w:rPr>
        <w:instrText xml:space="preserve"> PAGEREF _Toc96528583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3"/>
        <w:snapToGrid w:val="0"/>
        <w:spacing w:line="240" w:lineRule="auto"/>
        <w:ind w:left="0" w:leftChars="0"/>
        <w:rPr>
          <w:sz w:val="28"/>
          <w:szCs w:val="28"/>
        </w:rPr>
      </w:pPr>
      <w:r>
        <w:fldChar w:fldCharType="begin"/>
      </w:r>
      <w:r>
        <w:instrText xml:space="preserve"> HYPERLINK \l "_Toc96528584" </w:instrText>
      </w:r>
      <w:r>
        <w:fldChar w:fldCharType="separate"/>
      </w:r>
      <w:r>
        <w:rPr>
          <w:rStyle w:val="24"/>
          <w:color w:val="auto"/>
          <w:sz w:val="28"/>
          <w:szCs w:val="28"/>
        </w:rPr>
        <w:t>4.4.2 中心城区以外其他区县</w:t>
      </w:r>
      <w:r>
        <w:rPr>
          <w:sz w:val="28"/>
          <w:szCs w:val="28"/>
        </w:rPr>
        <w:tab/>
      </w:r>
      <w:r>
        <w:rPr>
          <w:sz w:val="28"/>
          <w:szCs w:val="28"/>
        </w:rPr>
        <w:fldChar w:fldCharType="begin"/>
      </w:r>
      <w:r>
        <w:rPr>
          <w:sz w:val="28"/>
          <w:szCs w:val="28"/>
        </w:rPr>
        <w:instrText xml:space="preserve"> PAGEREF _Toc96528584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"_Toc96528585" </w:instrText>
      </w:r>
      <w:r>
        <w:fldChar w:fldCharType="separate"/>
      </w:r>
      <w:r>
        <w:rPr>
          <w:rStyle w:val="24"/>
          <w:rFonts w:eastAsia="宋体"/>
          <w:color w:val="auto"/>
          <w:sz w:val="28"/>
          <w:szCs w:val="28"/>
        </w:rPr>
        <w:t>第五章 规划实施保障措施</w:t>
      </w:r>
      <w:r>
        <w:rPr>
          <w:rFonts w:eastAsia="宋体"/>
          <w:sz w:val="28"/>
          <w:szCs w:val="28"/>
        </w:rPr>
        <w:tab/>
      </w:r>
      <w:r>
        <w:rPr>
          <w:rFonts w:eastAsia="宋体"/>
          <w:sz w:val="28"/>
          <w:szCs w:val="28"/>
        </w:rPr>
        <w:fldChar w:fldCharType="begin"/>
      </w:r>
      <w:r>
        <w:rPr>
          <w:rFonts w:eastAsia="宋体"/>
          <w:sz w:val="28"/>
          <w:szCs w:val="28"/>
        </w:rPr>
        <w:instrText xml:space="preserve"> PAGEREF _Toc96528585 \h </w:instrText>
      </w:r>
      <w:r>
        <w:rPr>
          <w:rFonts w:eastAsia="宋体"/>
          <w:sz w:val="28"/>
          <w:szCs w:val="28"/>
        </w:rPr>
        <w:fldChar w:fldCharType="separate"/>
      </w:r>
      <w:r>
        <w:rPr>
          <w:rFonts w:eastAsia="宋体"/>
          <w:sz w:val="28"/>
          <w:szCs w:val="28"/>
        </w:rPr>
        <w:t>55</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"_Toc96528586" </w:instrText>
      </w:r>
      <w:r>
        <w:fldChar w:fldCharType="separate"/>
      </w:r>
      <w:r>
        <w:rPr>
          <w:rStyle w:val="24"/>
          <w:rFonts w:eastAsia="宋体"/>
          <w:color w:val="auto"/>
          <w:sz w:val="28"/>
          <w:szCs w:val="28"/>
        </w:rPr>
        <w:t>5.1强化组织实施</w:t>
      </w:r>
      <w:r>
        <w:rPr>
          <w:rFonts w:eastAsia="宋体"/>
          <w:sz w:val="28"/>
          <w:szCs w:val="28"/>
        </w:rPr>
        <w:tab/>
      </w:r>
      <w:r>
        <w:rPr>
          <w:rFonts w:eastAsia="宋体"/>
          <w:sz w:val="28"/>
          <w:szCs w:val="28"/>
        </w:rPr>
        <w:fldChar w:fldCharType="begin"/>
      </w:r>
      <w:r>
        <w:rPr>
          <w:rFonts w:eastAsia="宋体"/>
          <w:sz w:val="28"/>
          <w:szCs w:val="28"/>
        </w:rPr>
        <w:instrText xml:space="preserve"> PAGEREF _Toc96528586 \h </w:instrText>
      </w:r>
      <w:r>
        <w:rPr>
          <w:rFonts w:eastAsia="宋体"/>
          <w:sz w:val="28"/>
          <w:szCs w:val="28"/>
        </w:rPr>
        <w:fldChar w:fldCharType="separate"/>
      </w:r>
      <w:r>
        <w:rPr>
          <w:rFonts w:eastAsia="宋体"/>
          <w:sz w:val="28"/>
          <w:szCs w:val="28"/>
        </w:rPr>
        <w:t>55</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"_Toc96528587" </w:instrText>
      </w:r>
      <w:r>
        <w:fldChar w:fldCharType="separate"/>
      </w:r>
      <w:r>
        <w:rPr>
          <w:rStyle w:val="24"/>
          <w:rFonts w:eastAsia="宋体"/>
          <w:color w:val="auto"/>
          <w:sz w:val="28"/>
          <w:szCs w:val="28"/>
        </w:rPr>
        <w:t>5.2加强部门协作</w:t>
      </w:r>
      <w:r>
        <w:rPr>
          <w:rFonts w:eastAsia="宋体"/>
          <w:sz w:val="28"/>
          <w:szCs w:val="28"/>
        </w:rPr>
        <w:tab/>
      </w:r>
      <w:r>
        <w:rPr>
          <w:rFonts w:eastAsia="宋体"/>
          <w:sz w:val="28"/>
          <w:szCs w:val="28"/>
        </w:rPr>
        <w:fldChar w:fldCharType="begin"/>
      </w:r>
      <w:r>
        <w:rPr>
          <w:rFonts w:eastAsia="宋体"/>
          <w:sz w:val="28"/>
          <w:szCs w:val="28"/>
        </w:rPr>
        <w:instrText xml:space="preserve"> PAGEREF _Toc96528587 \h </w:instrText>
      </w:r>
      <w:r>
        <w:rPr>
          <w:rFonts w:eastAsia="宋体"/>
          <w:sz w:val="28"/>
          <w:szCs w:val="28"/>
        </w:rPr>
        <w:fldChar w:fldCharType="separate"/>
      </w:r>
      <w:r>
        <w:rPr>
          <w:rFonts w:eastAsia="宋体"/>
          <w:sz w:val="28"/>
          <w:szCs w:val="28"/>
        </w:rPr>
        <w:t>55</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"_Toc96528588" </w:instrText>
      </w:r>
      <w:r>
        <w:fldChar w:fldCharType="separate"/>
      </w:r>
      <w:r>
        <w:rPr>
          <w:rStyle w:val="24"/>
          <w:rFonts w:eastAsia="宋体"/>
          <w:color w:val="auto"/>
          <w:sz w:val="28"/>
          <w:szCs w:val="28"/>
        </w:rPr>
        <w:t>5.3强化审批管理</w:t>
      </w:r>
      <w:r>
        <w:rPr>
          <w:rFonts w:eastAsia="宋体"/>
          <w:sz w:val="28"/>
          <w:szCs w:val="28"/>
        </w:rPr>
        <w:tab/>
      </w:r>
      <w:r>
        <w:rPr>
          <w:rFonts w:eastAsia="宋体"/>
          <w:sz w:val="28"/>
          <w:szCs w:val="28"/>
        </w:rPr>
        <w:fldChar w:fldCharType="begin"/>
      </w:r>
      <w:r>
        <w:rPr>
          <w:rFonts w:eastAsia="宋体"/>
          <w:sz w:val="28"/>
          <w:szCs w:val="28"/>
        </w:rPr>
        <w:instrText xml:space="preserve"> PAGEREF _Toc96528588 \h </w:instrText>
      </w:r>
      <w:r>
        <w:rPr>
          <w:rFonts w:eastAsia="宋体"/>
          <w:sz w:val="28"/>
          <w:szCs w:val="28"/>
        </w:rPr>
        <w:fldChar w:fldCharType="separate"/>
      </w:r>
      <w:r>
        <w:rPr>
          <w:rFonts w:eastAsia="宋体"/>
          <w:sz w:val="28"/>
          <w:szCs w:val="28"/>
        </w:rPr>
        <w:t>55</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"_Toc96528589" </w:instrText>
      </w:r>
      <w:r>
        <w:fldChar w:fldCharType="separate"/>
      </w:r>
      <w:r>
        <w:rPr>
          <w:rStyle w:val="24"/>
          <w:rFonts w:eastAsia="宋体"/>
          <w:color w:val="auto"/>
          <w:sz w:val="28"/>
          <w:szCs w:val="28"/>
        </w:rPr>
        <w:t>5.4完善体系监督</w:t>
      </w:r>
      <w:r>
        <w:rPr>
          <w:rFonts w:eastAsia="宋体"/>
          <w:sz w:val="28"/>
          <w:szCs w:val="28"/>
        </w:rPr>
        <w:tab/>
      </w:r>
      <w:r>
        <w:rPr>
          <w:rFonts w:eastAsia="宋体"/>
          <w:sz w:val="28"/>
          <w:szCs w:val="28"/>
        </w:rPr>
        <w:fldChar w:fldCharType="begin"/>
      </w:r>
      <w:r>
        <w:rPr>
          <w:rFonts w:eastAsia="宋体"/>
          <w:sz w:val="28"/>
          <w:szCs w:val="28"/>
        </w:rPr>
        <w:instrText xml:space="preserve"> PAGEREF _Toc96528589 \h </w:instrText>
      </w:r>
      <w:r>
        <w:rPr>
          <w:rFonts w:eastAsia="宋体"/>
          <w:sz w:val="28"/>
          <w:szCs w:val="28"/>
        </w:rPr>
        <w:fldChar w:fldCharType="separate"/>
      </w:r>
      <w:r>
        <w:rPr>
          <w:rFonts w:eastAsia="宋体"/>
          <w:sz w:val="28"/>
          <w:szCs w:val="28"/>
        </w:rPr>
        <w:t>56</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"_Toc96528590" </w:instrText>
      </w:r>
      <w:r>
        <w:fldChar w:fldCharType="separate"/>
      </w:r>
      <w:r>
        <w:rPr>
          <w:rStyle w:val="24"/>
          <w:rFonts w:eastAsia="宋体"/>
          <w:color w:val="auto"/>
          <w:sz w:val="28"/>
          <w:szCs w:val="28"/>
        </w:rPr>
        <w:t>5.5深化体系改革</w:t>
      </w:r>
      <w:r>
        <w:rPr>
          <w:rFonts w:eastAsia="宋体"/>
          <w:sz w:val="28"/>
          <w:szCs w:val="28"/>
        </w:rPr>
        <w:tab/>
      </w:r>
      <w:r>
        <w:rPr>
          <w:rFonts w:eastAsia="宋体"/>
          <w:sz w:val="28"/>
          <w:szCs w:val="28"/>
        </w:rPr>
        <w:fldChar w:fldCharType="begin"/>
      </w:r>
      <w:r>
        <w:rPr>
          <w:rFonts w:eastAsia="宋体"/>
          <w:sz w:val="28"/>
          <w:szCs w:val="28"/>
        </w:rPr>
        <w:instrText xml:space="preserve"> PAGEREF _Toc96528590 \h </w:instrText>
      </w:r>
      <w:r>
        <w:rPr>
          <w:rFonts w:eastAsia="宋体"/>
          <w:sz w:val="28"/>
          <w:szCs w:val="28"/>
        </w:rPr>
        <w:fldChar w:fldCharType="separate"/>
      </w:r>
      <w:r>
        <w:rPr>
          <w:rFonts w:eastAsia="宋体"/>
          <w:sz w:val="28"/>
          <w:szCs w:val="28"/>
        </w:rPr>
        <w:t>56</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"_Toc96528591" </w:instrText>
      </w:r>
      <w:r>
        <w:fldChar w:fldCharType="separate"/>
      </w:r>
      <w:r>
        <w:rPr>
          <w:rStyle w:val="24"/>
          <w:rFonts w:eastAsia="宋体"/>
          <w:color w:val="auto"/>
          <w:sz w:val="28"/>
          <w:szCs w:val="28"/>
        </w:rPr>
        <w:t>附件1：中心城区成品油零售加油站发展规划一览表</w:t>
      </w:r>
      <w:r>
        <w:rPr>
          <w:rFonts w:eastAsia="宋体"/>
          <w:sz w:val="28"/>
          <w:szCs w:val="28"/>
        </w:rPr>
        <w:tab/>
      </w:r>
      <w:r>
        <w:rPr>
          <w:rFonts w:eastAsia="宋体"/>
          <w:sz w:val="28"/>
          <w:szCs w:val="28"/>
        </w:rPr>
        <w:fldChar w:fldCharType="begin"/>
      </w:r>
      <w:r>
        <w:rPr>
          <w:rFonts w:eastAsia="宋体"/>
          <w:sz w:val="28"/>
          <w:szCs w:val="28"/>
        </w:rPr>
        <w:instrText xml:space="preserve"> PAGEREF _Toc96528591 \h </w:instrText>
      </w:r>
      <w:r>
        <w:rPr>
          <w:rFonts w:eastAsia="宋体"/>
          <w:sz w:val="28"/>
          <w:szCs w:val="28"/>
        </w:rPr>
        <w:fldChar w:fldCharType="separate"/>
      </w:r>
      <w:r>
        <w:rPr>
          <w:rFonts w:eastAsia="宋体"/>
          <w:sz w:val="28"/>
          <w:szCs w:val="28"/>
        </w:rPr>
        <w:t>57</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"_Toc96528592" </w:instrText>
      </w:r>
      <w:r>
        <w:fldChar w:fldCharType="separate"/>
      </w:r>
      <w:r>
        <w:rPr>
          <w:rStyle w:val="24"/>
          <w:rFonts w:eastAsia="宋体"/>
          <w:color w:val="auto"/>
          <w:sz w:val="28"/>
          <w:szCs w:val="28"/>
        </w:rPr>
        <w:t>附件2：中心城区成品油零售加油站发展备选用地一览表</w:t>
      </w:r>
      <w:r>
        <w:rPr>
          <w:rFonts w:eastAsia="宋体"/>
          <w:sz w:val="28"/>
          <w:szCs w:val="28"/>
        </w:rPr>
        <w:tab/>
      </w:r>
      <w:r>
        <w:rPr>
          <w:rFonts w:eastAsia="宋体"/>
          <w:sz w:val="28"/>
          <w:szCs w:val="28"/>
        </w:rPr>
        <w:fldChar w:fldCharType="begin"/>
      </w:r>
      <w:r>
        <w:rPr>
          <w:rFonts w:eastAsia="宋体"/>
          <w:sz w:val="28"/>
          <w:szCs w:val="28"/>
        </w:rPr>
        <w:instrText xml:space="preserve"> PAGEREF _Toc96528592 \h </w:instrText>
      </w:r>
      <w:r>
        <w:rPr>
          <w:rFonts w:eastAsia="宋体"/>
          <w:sz w:val="28"/>
          <w:szCs w:val="28"/>
        </w:rPr>
        <w:fldChar w:fldCharType="separate"/>
      </w:r>
      <w:r>
        <w:rPr>
          <w:rFonts w:eastAsia="宋体"/>
          <w:sz w:val="28"/>
          <w:szCs w:val="28"/>
        </w:rPr>
        <w:t>73</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"_Toc96528593" </w:instrText>
      </w:r>
      <w:r>
        <w:fldChar w:fldCharType="separate"/>
      </w:r>
      <w:r>
        <w:rPr>
          <w:rStyle w:val="24"/>
          <w:rFonts w:eastAsia="宋体"/>
          <w:color w:val="auto"/>
          <w:sz w:val="28"/>
          <w:szCs w:val="28"/>
        </w:rPr>
        <w:t>附件3：中心城区以外其他区县成品油零售加油站发展规划一览表</w:t>
      </w:r>
      <w:r>
        <w:rPr>
          <w:rFonts w:eastAsia="宋体"/>
          <w:sz w:val="28"/>
          <w:szCs w:val="28"/>
        </w:rPr>
        <w:tab/>
      </w:r>
      <w:r>
        <w:rPr>
          <w:rFonts w:eastAsia="宋体"/>
          <w:sz w:val="28"/>
          <w:szCs w:val="28"/>
        </w:rPr>
        <w:fldChar w:fldCharType="begin"/>
      </w:r>
      <w:r>
        <w:rPr>
          <w:rFonts w:eastAsia="宋体"/>
          <w:sz w:val="28"/>
          <w:szCs w:val="28"/>
        </w:rPr>
        <w:instrText xml:space="preserve"> PAGEREF _Toc96528593 \h </w:instrText>
      </w:r>
      <w:r>
        <w:rPr>
          <w:rFonts w:eastAsia="宋体"/>
          <w:sz w:val="28"/>
          <w:szCs w:val="28"/>
        </w:rPr>
        <w:fldChar w:fldCharType="separate"/>
      </w:r>
      <w:r>
        <w:rPr>
          <w:rFonts w:eastAsia="宋体"/>
          <w:sz w:val="28"/>
          <w:szCs w:val="28"/>
        </w:rPr>
        <w:t>75</w:t>
      </w:r>
      <w:r>
        <w:rPr>
          <w:rFonts w:eastAsia="宋体"/>
          <w:sz w:val="28"/>
          <w:szCs w:val="28"/>
        </w:rPr>
        <w:fldChar w:fldCharType="end"/>
      </w:r>
      <w:r>
        <w:rPr>
          <w:rFonts w:eastAsia="宋体"/>
          <w:sz w:val="28"/>
          <w:szCs w:val="28"/>
        </w:rPr>
        <w:fldChar w:fldCharType="end"/>
      </w:r>
    </w:p>
    <w:p>
      <w:pPr>
        <w:pStyle w:val="12"/>
        <w:snapToGrid w:val="0"/>
        <w:spacing w:line="240" w:lineRule="auto"/>
        <w:rPr>
          <w:rFonts w:eastAsia="宋体"/>
          <w:sz w:val="28"/>
          <w:szCs w:val="28"/>
        </w:rPr>
      </w:pPr>
      <w:r>
        <w:fldChar w:fldCharType="begin"/>
      </w:r>
      <w:r>
        <w:instrText xml:space="preserve"> HYPERLINK \l "_Toc96528594" </w:instrText>
      </w:r>
      <w:r>
        <w:fldChar w:fldCharType="separate"/>
      </w:r>
      <w:r>
        <w:rPr>
          <w:rStyle w:val="24"/>
          <w:rFonts w:eastAsia="宋体"/>
          <w:color w:val="auto"/>
          <w:sz w:val="28"/>
          <w:szCs w:val="28"/>
        </w:rPr>
        <w:t>附件4：中心城区成品油零售加油站“十四五”发展规划图</w:t>
      </w:r>
      <w:r>
        <w:rPr>
          <w:rFonts w:eastAsia="宋体"/>
          <w:sz w:val="28"/>
          <w:szCs w:val="28"/>
        </w:rPr>
        <w:tab/>
      </w:r>
      <w:r>
        <w:rPr>
          <w:rFonts w:eastAsia="宋体"/>
          <w:sz w:val="28"/>
          <w:szCs w:val="28"/>
        </w:rPr>
        <w:fldChar w:fldCharType="begin"/>
      </w:r>
      <w:r>
        <w:rPr>
          <w:rFonts w:eastAsia="宋体"/>
          <w:sz w:val="28"/>
          <w:szCs w:val="28"/>
        </w:rPr>
        <w:instrText xml:space="preserve"> PAGEREF _Toc96528594 \h </w:instrText>
      </w:r>
      <w:r>
        <w:rPr>
          <w:rFonts w:eastAsia="宋体"/>
          <w:sz w:val="28"/>
          <w:szCs w:val="28"/>
        </w:rPr>
        <w:fldChar w:fldCharType="separate"/>
      </w:r>
      <w:r>
        <w:rPr>
          <w:rFonts w:eastAsia="宋体"/>
          <w:sz w:val="28"/>
          <w:szCs w:val="28"/>
        </w:rPr>
        <w:t>145</w:t>
      </w:r>
      <w:r>
        <w:rPr>
          <w:rFonts w:eastAsia="宋体"/>
          <w:sz w:val="28"/>
          <w:szCs w:val="28"/>
        </w:rPr>
        <w:fldChar w:fldCharType="end"/>
      </w:r>
      <w:r>
        <w:rPr>
          <w:rFonts w:eastAsia="宋体"/>
          <w:sz w:val="28"/>
          <w:szCs w:val="28"/>
        </w:rPr>
        <w:fldChar w:fldCharType="end"/>
      </w:r>
    </w:p>
    <w:p>
      <w:pPr>
        <w:snapToGrid w:val="0"/>
        <w:rPr>
          <w:sz w:val="28"/>
          <w:szCs w:val="28"/>
        </w:rPr>
      </w:pPr>
      <w:r>
        <w:rPr>
          <w:b/>
          <w:bCs/>
          <w:sz w:val="28"/>
          <w:szCs w:val="28"/>
          <w:lang w:val="zh-CN"/>
        </w:rPr>
        <w:fldChar w:fldCharType="end"/>
      </w:r>
    </w:p>
    <w:p/>
    <w:p/>
    <w:p>
      <w:pPr>
        <w:ind w:firstLine="640"/>
        <w:jc w:val="center"/>
        <w:rPr>
          <w:sz w:val="32"/>
          <w:szCs w:val="32"/>
        </w:rPr>
        <w:sectPr>
          <w:footerReference r:id="rId4" w:type="default"/>
          <w:pgSz w:w="11906" w:h="16838"/>
          <w:pgMar w:top="2098" w:right="1531" w:bottom="1984" w:left="1531" w:header="851" w:footer="1474" w:gutter="0"/>
          <w:cols w:space="0" w:num="1"/>
          <w:docGrid w:type="linesAndChars" w:linePitch="590" w:charSpace="1168"/>
        </w:sectPr>
      </w:pPr>
    </w:p>
    <w:p>
      <w:pPr>
        <w:pStyle w:val="16"/>
        <w:snapToGrid w:val="0"/>
        <w:spacing w:line="240" w:lineRule="auto"/>
        <w:jc w:val="center"/>
        <w:rPr>
          <w:rFonts w:ascii="Times New Roman" w:hAnsi="Times New Roman" w:eastAsia="宋体"/>
          <w:b/>
          <w:bCs w:val="0"/>
          <w:sz w:val="44"/>
          <w:szCs w:val="44"/>
        </w:rPr>
      </w:pPr>
      <w:bookmarkStart w:id="0" w:name="_Toc96528548"/>
      <w:bookmarkStart w:id="1" w:name="_Toc87956377"/>
      <w:r>
        <w:rPr>
          <w:rFonts w:ascii="Times New Roman" w:hAnsi="Times New Roman" w:eastAsia="宋体"/>
          <w:b/>
          <w:bCs w:val="0"/>
          <w:sz w:val="44"/>
          <w:szCs w:val="44"/>
        </w:rPr>
        <w:t>前　言</w:t>
      </w:r>
      <w:bookmarkEnd w:id="0"/>
      <w:bookmarkEnd w:id="1"/>
    </w:p>
    <w:p>
      <w:pPr>
        <w:ind w:firstLine="650" w:firstLineChars="200"/>
        <w:rPr>
          <w:sz w:val="32"/>
          <w:szCs w:val="32"/>
        </w:rPr>
      </w:pPr>
    </w:p>
    <w:p>
      <w:pPr>
        <w:ind w:firstLine="650" w:firstLineChars="200"/>
        <w:rPr>
          <w:sz w:val="32"/>
          <w:szCs w:val="32"/>
        </w:rPr>
      </w:pPr>
      <w:r>
        <w:rPr>
          <w:sz w:val="32"/>
          <w:szCs w:val="32"/>
        </w:rPr>
        <w:t>“十三五”时期是我市发展进程极不平凡的五年，习近平总书记两次亲临重庆视察，并对重庆提出了“两点”定位、“两地”“两高”目标和“四个扎实”的要求，为重庆以后的发展指明了前进方向、注入了强大动力。党中央作出推动成渝地区双城经济圈建设的重大决策部署，为重庆赋予了战略使命、带来了重大机遇。</w:t>
      </w:r>
    </w:p>
    <w:p>
      <w:pPr>
        <w:ind w:firstLine="650" w:firstLineChars="200"/>
        <w:rPr>
          <w:sz w:val="32"/>
          <w:szCs w:val="32"/>
        </w:rPr>
      </w:pPr>
      <w:r>
        <w:rPr>
          <w:sz w:val="32"/>
          <w:szCs w:val="32"/>
        </w:rPr>
        <w:t>成品油零售加油站是关系国计民生、提高人民生活质量的重要基础设施。“十三五”期间已初步构建起与重庆经济发展相适应、能够基本满足市场需求、功能比较完善的成品油零售网络体系，但也存在着总体数量偏少、非法经营突出、部分加油站不适应城乡发展的需要、城区加油站分布不均、农村加油站建设进度缓慢实施难度大等问题。</w:t>
      </w:r>
    </w:p>
    <w:p>
      <w:pPr>
        <w:ind w:firstLine="650" w:firstLineChars="200"/>
        <w:rPr>
          <w:sz w:val="32"/>
          <w:szCs w:val="32"/>
        </w:rPr>
      </w:pPr>
      <w:r>
        <w:rPr>
          <w:sz w:val="32"/>
          <w:szCs w:val="32"/>
        </w:rPr>
        <w:t>秉承从全局谋划一域、以一域服务全局的工作理念，坚持以人民为中心，紧扣《重庆市国民经济和社会发展第十四个五年规划和二〇三五年远景目标纲要》，结合我市发展定位与成品油加油站发展需求，因地制宜编制了《重庆市成品油零售加油站“十四五”发展规划》（以下简称《规划》）。</w:t>
      </w:r>
    </w:p>
    <w:p>
      <w:pPr>
        <w:pStyle w:val="16"/>
        <w:spacing w:line="240" w:lineRule="auto"/>
        <w:jc w:val="center"/>
        <w:rPr>
          <w:rFonts w:ascii="Times New Roman" w:hAnsi="Times New Roman" w:eastAsia="宋体"/>
          <w:sz w:val="32"/>
        </w:rPr>
      </w:pPr>
      <w:bookmarkStart w:id="2" w:name="_Toc444796394"/>
      <w:bookmarkStart w:id="3" w:name="_Toc504035727"/>
      <w:bookmarkStart w:id="4" w:name="_Toc504035836"/>
      <w:bookmarkStart w:id="5" w:name="_Toc504036981"/>
      <w:bookmarkStart w:id="6" w:name="_Toc460434448"/>
      <w:bookmarkStart w:id="7" w:name="_Toc460434319"/>
      <w:bookmarkStart w:id="8" w:name="_Toc96528549"/>
      <w:bookmarkStart w:id="9" w:name="_Toc87956378"/>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b/>
          <w:bCs w:val="0"/>
          <w:sz w:val="32"/>
        </w:rPr>
      </w:pPr>
      <w:r>
        <w:rPr>
          <w:rFonts w:ascii="Times New Roman" w:hAnsi="Times New Roman" w:eastAsia="宋体"/>
          <w:b/>
          <w:bCs w:val="0"/>
          <w:sz w:val="32"/>
        </w:rPr>
        <w:t>第一章</w:t>
      </w:r>
      <w:bookmarkEnd w:id="2"/>
      <w:r>
        <w:rPr>
          <w:rFonts w:ascii="Times New Roman" w:hAnsi="Times New Roman" w:eastAsia="宋体"/>
          <w:b/>
          <w:bCs w:val="0"/>
          <w:sz w:val="32"/>
        </w:rPr>
        <w:t xml:space="preserve"> “十三五”期间成品油零售体系发展</w:t>
      </w:r>
      <w:bookmarkEnd w:id="3"/>
      <w:bookmarkEnd w:id="4"/>
      <w:bookmarkEnd w:id="5"/>
      <w:bookmarkEnd w:id="6"/>
      <w:bookmarkEnd w:id="7"/>
      <w:r>
        <w:rPr>
          <w:rFonts w:ascii="Times New Roman" w:hAnsi="Times New Roman" w:eastAsia="宋体"/>
          <w:b/>
          <w:bCs w:val="0"/>
          <w:sz w:val="32"/>
        </w:rPr>
        <w:t>情况</w:t>
      </w:r>
      <w:bookmarkEnd w:id="8"/>
      <w:bookmarkEnd w:id="9"/>
    </w:p>
    <w:p>
      <w:pPr>
        <w:pStyle w:val="4"/>
        <w:spacing w:beforeAutospacing="0" w:afterAutospacing="0"/>
        <w:ind w:firstLine="650" w:firstLineChars="200"/>
        <w:jc w:val="both"/>
        <w:rPr>
          <w:rFonts w:hint="default" w:ascii="Times New Roman" w:hAnsi="Times New Roman"/>
          <w:sz w:val="32"/>
          <w:szCs w:val="32"/>
        </w:rPr>
      </w:pPr>
      <w:bookmarkStart w:id="10" w:name="_Toc504036983"/>
      <w:bookmarkStart w:id="11" w:name="_Toc504038196"/>
      <w:bookmarkStart w:id="12" w:name="_Toc87956379"/>
      <w:bookmarkStart w:id="13" w:name="_Toc460434450"/>
      <w:bookmarkStart w:id="14" w:name="_Toc23349"/>
      <w:bookmarkStart w:id="15" w:name="_Toc504035838"/>
      <w:bookmarkStart w:id="16" w:name="_Toc480892139"/>
      <w:bookmarkStart w:id="17" w:name="_Toc492406063"/>
      <w:bookmarkStart w:id="18" w:name="_Toc504035728"/>
      <w:bookmarkStart w:id="19" w:name="_Toc480480723"/>
      <w:bookmarkStart w:id="20" w:name="_Toc479525452"/>
      <w:bookmarkStart w:id="21" w:name="_Toc460436267"/>
      <w:bookmarkStart w:id="22" w:name="_Toc6245"/>
      <w:bookmarkStart w:id="23" w:name="_Toc460434321"/>
      <w:bookmarkStart w:id="24" w:name="_Toc96528550"/>
      <w:bookmarkStart w:id="25" w:name="_Toc504035959"/>
      <w:bookmarkStart w:id="26" w:name="_Toc17070"/>
      <w:r>
        <w:rPr>
          <w:rFonts w:hint="default" w:ascii="Times New Roman" w:hAnsi="Times New Roman"/>
          <w:sz w:val="32"/>
          <w:szCs w:val="32"/>
        </w:rPr>
        <w:t>1.1经济社会发展状况</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ind w:firstLine="650" w:firstLineChars="200"/>
        <w:rPr>
          <w:sz w:val="32"/>
          <w:szCs w:val="32"/>
        </w:rPr>
      </w:pPr>
      <w:r>
        <w:rPr>
          <w:sz w:val="32"/>
          <w:szCs w:val="32"/>
        </w:rPr>
        <w:t>自重庆直辖以及西部大开发战略实施以来，重庆市社会经济进入了一个快速发展时期，经济增速呈现出逐年上升之势，并长期保持在全国前列。“十三五”前期重庆GDP增幅保持在8%以上，“十三五”期末，全市实现地区生产总值25002.79亿元，较上年增长3.9%，其中第一产业实现增加值1803.33亿元，第二产业实现增加值9992.21亿元，第三产业实现增加值13207.25亿元。全市常住人口3205.4万人（其中中心城区1034.3万人），城镇常住人口2226.4万人，城镇化率69.5%。</w:t>
      </w:r>
    </w:p>
    <w:p>
      <w:pPr>
        <w:pStyle w:val="4"/>
        <w:spacing w:beforeAutospacing="0" w:afterAutospacing="0"/>
        <w:ind w:firstLine="650" w:firstLineChars="200"/>
        <w:jc w:val="both"/>
        <w:rPr>
          <w:rFonts w:hint="default" w:ascii="Times New Roman" w:hAnsi="Times New Roman"/>
          <w:sz w:val="32"/>
          <w:szCs w:val="32"/>
        </w:rPr>
      </w:pPr>
      <w:bookmarkStart w:id="27" w:name="_Toc504035960"/>
      <w:bookmarkStart w:id="28" w:name="_Toc7870"/>
      <w:bookmarkStart w:id="29" w:name="_Toc480892140"/>
      <w:bookmarkStart w:id="30" w:name="_Toc460434322"/>
      <w:bookmarkStart w:id="31" w:name="_Toc492406064"/>
      <w:bookmarkStart w:id="32" w:name="_Toc4909"/>
      <w:bookmarkStart w:id="33" w:name="_Toc96528551"/>
      <w:bookmarkStart w:id="34" w:name="_Toc504035729"/>
      <w:bookmarkStart w:id="35" w:name="_Toc504036984"/>
      <w:bookmarkStart w:id="36" w:name="_Toc504035839"/>
      <w:bookmarkStart w:id="37" w:name="_Toc460434451"/>
      <w:bookmarkStart w:id="38" w:name="_Toc460436268"/>
      <w:bookmarkStart w:id="39" w:name="_Toc479525453"/>
      <w:bookmarkStart w:id="40" w:name="_Toc504038197"/>
      <w:bookmarkStart w:id="41" w:name="_Toc87956380"/>
      <w:bookmarkStart w:id="42" w:name="_Toc480480724"/>
      <w:bookmarkStart w:id="43" w:name="_Toc25905"/>
      <w:r>
        <w:rPr>
          <w:rFonts w:hint="default" w:ascii="Times New Roman" w:hAnsi="Times New Roman"/>
          <w:sz w:val="32"/>
          <w:szCs w:val="32"/>
        </w:rPr>
        <w:t>1.2交通及机动车发展状况</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ind w:firstLine="650" w:firstLineChars="200"/>
        <w:rPr>
          <w:sz w:val="32"/>
          <w:szCs w:val="32"/>
        </w:rPr>
      </w:pPr>
      <w:r>
        <w:rPr>
          <w:sz w:val="32"/>
          <w:szCs w:val="32"/>
        </w:rPr>
        <w:t>“十三五”期末，全市建成高速公路3403千米，公路18.1万千米，城市道路5689.8千米，跨江道路桥梁30座，穿山道路隧道19座，道路立交249座。“十三五”期间重庆市机动车大幅增长，2020年全市机动车拥有量763.8万辆，比2019年增加71万辆，增长率10.25 %；中心城区机动车拥有量209.1万辆，比2019年增加17.6万辆，增长率9.19 %。近十五年，重庆市机动车拥有量从2005年的111.8万辆增长至2020年的763.8万辆（其中中心城区机动车拥有量由30.2万辆209.1万辆），增长率先上升后下降，以客车增长为主。</w:t>
      </w:r>
    </w:p>
    <w:p>
      <w:pPr>
        <w:jc w:val="center"/>
        <w:rPr>
          <w:sz w:val="32"/>
          <w:szCs w:val="32"/>
        </w:rPr>
      </w:pPr>
    </w:p>
    <w:p>
      <w:pPr>
        <w:jc w:val="center"/>
        <w:rPr>
          <w:sz w:val="32"/>
          <w:szCs w:val="32"/>
        </w:rPr>
      </w:pPr>
      <w:r>
        <w:rPr>
          <w:sz w:val="32"/>
          <w:szCs w:val="32"/>
        </w:rPr>
        <w:t>表1-1  2005-2020年重庆市机动车数量变化表</w:t>
      </w:r>
    </w:p>
    <w:tbl>
      <w:tblPr>
        <w:tblStyle w:val="18"/>
        <w:tblW w:w="7660" w:type="dxa"/>
        <w:jc w:val="center"/>
        <w:tblLayout w:type="fixed"/>
        <w:tblCellMar>
          <w:top w:w="0" w:type="dxa"/>
          <w:left w:w="108" w:type="dxa"/>
          <w:bottom w:w="0" w:type="dxa"/>
          <w:right w:w="108" w:type="dxa"/>
        </w:tblCellMar>
      </w:tblPr>
      <w:tblGrid>
        <w:gridCol w:w="973"/>
        <w:gridCol w:w="1899"/>
        <w:gridCol w:w="1140"/>
        <w:gridCol w:w="2208"/>
        <w:gridCol w:w="1440"/>
      </w:tblGrid>
      <w:tr>
        <w:tblPrEx>
          <w:tblCellMar>
            <w:top w:w="0" w:type="dxa"/>
            <w:left w:w="108" w:type="dxa"/>
            <w:bottom w:w="0" w:type="dxa"/>
            <w:right w:w="108" w:type="dxa"/>
          </w:tblCellMar>
        </w:tblPrEx>
        <w:trPr>
          <w:trHeight w:val="620" w:hRule="atLeast"/>
          <w:jc w:val="center"/>
        </w:trPr>
        <w:tc>
          <w:tcPr>
            <w:tcW w:w="973"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b/>
                <w:bCs/>
                <w:kern w:val="0"/>
                <w:sz w:val="24"/>
                <w:szCs w:val="24"/>
              </w:rPr>
            </w:pPr>
            <w:r>
              <w:rPr>
                <w:b/>
                <w:bCs/>
                <w:kern w:val="0"/>
                <w:sz w:val="24"/>
                <w:szCs w:val="24"/>
              </w:rPr>
              <w:t>年份</w:t>
            </w:r>
          </w:p>
        </w:tc>
        <w:tc>
          <w:tcPr>
            <w:tcW w:w="1899" w:type="dxa"/>
            <w:tcBorders>
              <w:top w:val="single" w:color="auto" w:sz="8" w:space="0"/>
              <w:left w:val="nil"/>
              <w:bottom w:val="single" w:color="auto" w:sz="8" w:space="0"/>
              <w:right w:val="single" w:color="auto" w:sz="8" w:space="0"/>
            </w:tcBorders>
            <w:vAlign w:val="center"/>
          </w:tcPr>
          <w:p>
            <w:pPr>
              <w:widowControl/>
              <w:snapToGrid w:val="0"/>
              <w:jc w:val="center"/>
              <w:rPr>
                <w:b/>
                <w:bCs/>
                <w:kern w:val="0"/>
                <w:sz w:val="24"/>
                <w:szCs w:val="24"/>
              </w:rPr>
            </w:pPr>
            <w:r>
              <w:rPr>
                <w:b/>
                <w:bCs/>
                <w:kern w:val="0"/>
                <w:sz w:val="24"/>
                <w:szCs w:val="24"/>
              </w:rPr>
              <w:t>全市机动车</w:t>
            </w:r>
          </w:p>
          <w:p>
            <w:pPr>
              <w:widowControl/>
              <w:snapToGrid w:val="0"/>
              <w:jc w:val="center"/>
              <w:rPr>
                <w:b/>
                <w:bCs/>
                <w:kern w:val="0"/>
                <w:sz w:val="24"/>
                <w:szCs w:val="24"/>
              </w:rPr>
            </w:pPr>
            <w:r>
              <w:rPr>
                <w:b/>
                <w:bCs/>
                <w:kern w:val="0"/>
                <w:sz w:val="24"/>
                <w:szCs w:val="24"/>
              </w:rPr>
              <w:t>总量</w:t>
            </w:r>
          </w:p>
          <w:p>
            <w:pPr>
              <w:widowControl/>
              <w:snapToGrid w:val="0"/>
              <w:jc w:val="center"/>
              <w:rPr>
                <w:b/>
                <w:bCs/>
                <w:kern w:val="0"/>
                <w:sz w:val="24"/>
                <w:szCs w:val="24"/>
              </w:rPr>
            </w:pPr>
            <w:r>
              <w:rPr>
                <w:b/>
                <w:bCs/>
                <w:kern w:val="0"/>
                <w:sz w:val="24"/>
                <w:szCs w:val="24"/>
              </w:rPr>
              <w:t>（万辆）</w:t>
            </w:r>
          </w:p>
        </w:tc>
        <w:tc>
          <w:tcPr>
            <w:tcW w:w="1140" w:type="dxa"/>
            <w:tcBorders>
              <w:top w:val="single" w:color="auto" w:sz="8" w:space="0"/>
              <w:left w:val="nil"/>
              <w:bottom w:val="single" w:color="auto" w:sz="8" w:space="0"/>
              <w:right w:val="single" w:color="auto" w:sz="8" w:space="0"/>
            </w:tcBorders>
            <w:vAlign w:val="center"/>
          </w:tcPr>
          <w:p>
            <w:pPr>
              <w:widowControl/>
              <w:snapToGrid w:val="0"/>
              <w:jc w:val="center"/>
              <w:rPr>
                <w:b/>
                <w:bCs/>
                <w:kern w:val="0"/>
                <w:sz w:val="24"/>
                <w:szCs w:val="24"/>
              </w:rPr>
            </w:pPr>
            <w:r>
              <w:rPr>
                <w:b/>
                <w:bCs/>
                <w:kern w:val="0"/>
                <w:sz w:val="24"/>
                <w:szCs w:val="24"/>
              </w:rPr>
              <w:t>增长率</w:t>
            </w:r>
          </w:p>
        </w:tc>
        <w:tc>
          <w:tcPr>
            <w:tcW w:w="2208" w:type="dxa"/>
            <w:tcBorders>
              <w:top w:val="single" w:color="auto" w:sz="8" w:space="0"/>
              <w:left w:val="nil"/>
              <w:bottom w:val="single" w:color="auto" w:sz="8" w:space="0"/>
              <w:right w:val="single" w:color="auto" w:sz="8" w:space="0"/>
            </w:tcBorders>
            <w:vAlign w:val="center"/>
          </w:tcPr>
          <w:p>
            <w:pPr>
              <w:widowControl/>
              <w:snapToGrid w:val="0"/>
              <w:jc w:val="center"/>
              <w:rPr>
                <w:b/>
                <w:bCs/>
                <w:kern w:val="0"/>
                <w:sz w:val="24"/>
                <w:szCs w:val="24"/>
              </w:rPr>
            </w:pPr>
            <w:r>
              <w:rPr>
                <w:b/>
                <w:bCs/>
                <w:kern w:val="0"/>
                <w:sz w:val="24"/>
                <w:szCs w:val="24"/>
              </w:rPr>
              <w:t>中心城区机动车总量</w:t>
            </w:r>
          </w:p>
          <w:p>
            <w:pPr>
              <w:widowControl/>
              <w:snapToGrid w:val="0"/>
              <w:jc w:val="center"/>
              <w:rPr>
                <w:b/>
                <w:bCs/>
                <w:kern w:val="0"/>
                <w:sz w:val="24"/>
                <w:szCs w:val="24"/>
              </w:rPr>
            </w:pPr>
            <w:r>
              <w:rPr>
                <w:b/>
                <w:bCs/>
                <w:kern w:val="0"/>
                <w:sz w:val="24"/>
                <w:szCs w:val="24"/>
              </w:rPr>
              <w:t>（万辆）</w:t>
            </w:r>
          </w:p>
        </w:tc>
        <w:tc>
          <w:tcPr>
            <w:tcW w:w="1440" w:type="dxa"/>
            <w:tcBorders>
              <w:top w:val="single" w:color="auto" w:sz="8" w:space="0"/>
              <w:left w:val="nil"/>
              <w:bottom w:val="single" w:color="auto" w:sz="8" w:space="0"/>
              <w:right w:val="single" w:color="auto" w:sz="8" w:space="0"/>
            </w:tcBorders>
            <w:vAlign w:val="center"/>
          </w:tcPr>
          <w:p>
            <w:pPr>
              <w:widowControl/>
              <w:snapToGrid w:val="0"/>
              <w:jc w:val="center"/>
              <w:rPr>
                <w:b/>
                <w:bCs/>
                <w:kern w:val="0"/>
                <w:sz w:val="24"/>
                <w:szCs w:val="24"/>
              </w:rPr>
            </w:pPr>
            <w:r>
              <w:rPr>
                <w:b/>
                <w:bCs/>
                <w:kern w:val="0"/>
                <w:sz w:val="24"/>
                <w:szCs w:val="24"/>
              </w:rPr>
              <w:t>增长率</w:t>
            </w:r>
          </w:p>
        </w:tc>
      </w:tr>
      <w:tr>
        <w:tblPrEx>
          <w:tblCellMar>
            <w:top w:w="0" w:type="dxa"/>
            <w:left w:w="108" w:type="dxa"/>
            <w:bottom w:w="0" w:type="dxa"/>
            <w:right w:w="108" w:type="dxa"/>
          </w:tblCellMar>
        </w:tblPrEx>
        <w:trPr>
          <w:trHeight w:val="425" w:hRule="exact"/>
          <w:jc w:val="center"/>
        </w:trPr>
        <w:tc>
          <w:tcPr>
            <w:tcW w:w="973"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2005</w:t>
            </w:r>
          </w:p>
        </w:tc>
        <w:tc>
          <w:tcPr>
            <w:tcW w:w="1899"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111.8</w:t>
            </w:r>
          </w:p>
        </w:tc>
        <w:tc>
          <w:tcPr>
            <w:tcW w:w="11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p>
        </w:tc>
        <w:tc>
          <w:tcPr>
            <w:tcW w:w="2208"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30.2</w:t>
            </w:r>
          </w:p>
        </w:tc>
        <w:tc>
          <w:tcPr>
            <w:tcW w:w="14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p>
        </w:tc>
      </w:tr>
      <w:tr>
        <w:tblPrEx>
          <w:tblCellMar>
            <w:top w:w="0" w:type="dxa"/>
            <w:left w:w="108" w:type="dxa"/>
            <w:bottom w:w="0" w:type="dxa"/>
            <w:right w:w="108" w:type="dxa"/>
          </w:tblCellMar>
        </w:tblPrEx>
        <w:trPr>
          <w:trHeight w:val="425" w:hRule="exact"/>
          <w:jc w:val="center"/>
        </w:trPr>
        <w:tc>
          <w:tcPr>
            <w:tcW w:w="973"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2006</w:t>
            </w:r>
          </w:p>
        </w:tc>
        <w:tc>
          <w:tcPr>
            <w:tcW w:w="1899"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127.3</w:t>
            </w:r>
          </w:p>
        </w:tc>
        <w:tc>
          <w:tcPr>
            <w:tcW w:w="11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13.86%</w:t>
            </w:r>
          </w:p>
        </w:tc>
        <w:tc>
          <w:tcPr>
            <w:tcW w:w="2208"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34.4</w:t>
            </w:r>
          </w:p>
        </w:tc>
        <w:tc>
          <w:tcPr>
            <w:tcW w:w="14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13.81%</w:t>
            </w:r>
          </w:p>
        </w:tc>
      </w:tr>
      <w:tr>
        <w:tblPrEx>
          <w:tblCellMar>
            <w:top w:w="0" w:type="dxa"/>
            <w:left w:w="108" w:type="dxa"/>
            <w:bottom w:w="0" w:type="dxa"/>
            <w:right w:w="108" w:type="dxa"/>
          </w:tblCellMar>
        </w:tblPrEx>
        <w:trPr>
          <w:trHeight w:val="425" w:hRule="exact"/>
          <w:jc w:val="center"/>
        </w:trPr>
        <w:tc>
          <w:tcPr>
            <w:tcW w:w="973"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2007</w:t>
            </w:r>
          </w:p>
        </w:tc>
        <w:tc>
          <w:tcPr>
            <w:tcW w:w="1899"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143.7</w:t>
            </w:r>
          </w:p>
        </w:tc>
        <w:tc>
          <w:tcPr>
            <w:tcW w:w="11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12.88%</w:t>
            </w:r>
          </w:p>
        </w:tc>
        <w:tc>
          <w:tcPr>
            <w:tcW w:w="2208"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38.9</w:t>
            </w:r>
          </w:p>
        </w:tc>
        <w:tc>
          <w:tcPr>
            <w:tcW w:w="14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13.15%</w:t>
            </w:r>
          </w:p>
        </w:tc>
      </w:tr>
      <w:tr>
        <w:tblPrEx>
          <w:tblCellMar>
            <w:top w:w="0" w:type="dxa"/>
            <w:left w:w="108" w:type="dxa"/>
            <w:bottom w:w="0" w:type="dxa"/>
            <w:right w:w="108" w:type="dxa"/>
          </w:tblCellMar>
        </w:tblPrEx>
        <w:trPr>
          <w:trHeight w:val="425" w:hRule="exact"/>
          <w:jc w:val="center"/>
        </w:trPr>
        <w:tc>
          <w:tcPr>
            <w:tcW w:w="973"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2008</w:t>
            </w:r>
          </w:p>
        </w:tc>
        <w:tc>
          <w:tcPr>
            <w:tcW w:w="1899"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160.8</w:t>
            </w:r>
          </w:p>
        </w:tc>
        <w:tc>
          <w:tcPr>
            <w:tcW w:w="11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11.90%</w:t>
            </w:r>
          </w:p>
        </w:tc>
        <w:tc>
          <w:tcPr>
            <w:tcW w:w="2208"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44.1</w:t>
            </w:r>
          </w:p>
        </w:tc>
        <w:tc>
          <w:tcPr>
            <w:tcW w:w="14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13.45%</w:t>
            </w:r>
          </w:p>
        </w:tc>
      </w:tr>
      <w:tr>
        <w:tblPrEx>
          <w:tblCellMar>
            <w:top w:w="0" w:type="dxa"/>
            <w:left w:w="108" w:type="dxa"/>
            <w:bottom w:w="0" w:type="dxa"/>
            <w:right w:w="108" w:type="dxa"/>
          </w:tblCellMar>
        </w:tblPrEx>
        <w:trPr>
          <w:trHeight w:val="425" w:hRule="exact"/>
          <w:jc w:val="center"/>
        </w:trPr>
        <w:tc>
          <w:tcPr>
            <w:tcW w:w="973"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2009</w:t>
            </w:r>
          </w:p>
        </w:tc>
        <w:tc>
          <w:tcPr>
            <w:tcW w:w="1899"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201.4</w:t>
            </w:r>
          </w:p>
        </w:tc>
        <w:tc>
          <w:tcPr>
            <w:tcW w:w="11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25.25%</w:t>
            </w:r>
          </w:p>
        </w:tc>
        <w:tc>
          <w:tcPr>
            <w:tcW w:w="2208"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52.8</w:t>
            </w:r>
          </w:p>
        </w:tc>
        <w:tc>
          <w:tcPr>
            <w:tcW w:w="1440" w:type="dxa"/>
            <w:tcBorders>
              <w:top w:val="single" w:color="auto" w:sz="8" w:space="0"/>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19.58%</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2010</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273.2</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35.66%</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66.7</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26.42%</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2011</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335</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22.62%</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81.2</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21.74%</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2012</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386.9</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15.49%</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93.3</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14.90%</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2013</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404.8</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4.63%</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99</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6.11%</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2014</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438.4</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8.30%</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115.1</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16.26%</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2015</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469.9</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7.19%</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126.4</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9.82%</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2016</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513.2</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9.21%</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139.8</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10.60%</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2017</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567.5</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10.58%</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151.1</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8.08%</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2018</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630.2</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11.05%</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172</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13.83%</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2019</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692.8</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9.93%</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191.5</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11.34%</w:t>
            </w:r>
          </w:p>
        </w:tc>
      </w:tr>
      <w:tr>
        <w:tblPrEx>
          <w:tblCellMar>
            <w:top w:w="0" w:type="dxa"/>
            <w:left w:w="108" w:type="dxa"/>
            <w:bottom w:w="0" w:type="dxa"/>
            <w:right w:w="108" w:type="dxa"/>
          </w:tblCellMar>
        </w:tblPrEx>
        <w:trPr>
          <w:trHeight w:val="425" w:hRule="exact"/>
          <w:jc w:val="center"/>
        </w:trPr>
        <w:tc>
          <w:tcPr>
            <w:tcW w:w="973" w:type="dxa"/>
            <w:tcBorders>
              <w:top w:val="nil"/>
              <w:left w:val="single" w:color="auto" w:sz="8" w:space="0"/>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2020</w:t>
            </w:r>
          </w:p>
        </w:tc>
        <w:tc>
          <w:tcPr>
            <w:tcW w:w="1899"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763.8</w:t>
            </w:r>
          </w:p>
        </w:tc>
        <w:tc>
          <w:tcPr>
            <w:tcW w:w="11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10.25%</w:t>
            </w:r>
          </w:p>
        </w:tc>
        <w:tc>
          <w:tcPr>
            <w:tcW w:w="2208"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209.1</w:t>
            </w:r>
          </w:p>
        </w:tc>
        <w:tc>
          <w:tcPr>
            <w:tcW w:w="1440" w:type="dxa"/>
            <w:tcBorders>
              <w:top w:val="nil"/>
              <w:left w:val="nil"/>
              <w:bottom w:val="single" w:color="auto" w:sz="8" w:space="0"/>
              <w:right w:val="single" w:color="auto" w:sz="8" w:space="0"/>
            </w:tcBorders>
            <w:vAlign w:val="center"/>
          </w:tcPr>
          <w:p>
            <w:pPr>
              <w:widowControl/>
              <w:snapToGrid w:val="0"/>
              <w:jc w:val="center"/>
              <w:rPr>
                <w:kern w:val="0"/>
                <w:sz w:val="24"/>
                <w:szCs w:val="24"/>
              </w:rPr>
            </w:pPr>
            <w:r>
              <w:rPr>
                <w:kern w:val="0"/>
                <w:sz w:val="24"/>
                <w:szCs w:val="24"/>
              </w:rPr>
              <w:t>9.19%</w:t>
            </w:r>
          </w:p>
        </w:tc>
      </w:tr>
    </w:tbl>
    <w:p>
      <w:pPr>
        <w:jc w:val="center"/>
        <w:rPr>
          <w:sz w:val="32"/>
          <w:szCs w:val="32"/>
        </w:rPr>
      </w:pPr>
      <w:r>
        <w:rPr>
          <w:sz w:val="32"/>
          <w:szCs w:val="32"/>
        </w:rPr>
        <w:drawing>
          <wp:inline distT="0" distB="0" distL="114300" distR="114300">
            <wp:extent cx="4667885" cy="2087245"/>
            <wp:effectExtent l="0" t="0" r="18415" b="8255"/>
            <wp:docPr id="24" name="图片 1"/>
            <wp:cNvGraphicFramePr/>
            <a:graphic xmlns:a="http://schemas.openxmlformats.org/drawingml/2006/main">
              <a:graphicData uri="http://schemas.openxmlformats.org/drawingml/2006/picture">
                <pic:pic xmlns:pic="http://schemas.openxmlformats.org/drawingml/2006/picture">
                  <pic:nvPicPr>
                    <pic:cNvPr id="24" name="图片 1"/>
                    <pic:cNvPicPr/>
                  </pic:nvPicPr>
                  <pic:blipFill>
                    <a:blip r:embed="rId8"/>
                    <a:srcRect l="1045" t="12181" r="1059" b="2113"/>
                    <a:stretch>
                      <a:fillRect/>
                    </a:stretch>
                  </pic:blipFill>
                  <pic:spPr>
                    <a:xfrm>
                      <a:off x="0" y="0"/>
                      <a:ext cx="4667885" cy="2087245"/>
                    </a:xfrm>
                    <a:prstGeom prst="rect">
                      <a:avLst/>
                    </a:prstGeom>
                    <a:noFill/>
                    <a:ln w="9525">
                      <a:noFill/>
                    </a:ln>
                  </pic:spPr>
                </pic:pic>
              </a:graphicData>
            </a:graphic>
          </wp:inline>
        </w:drawing>
      </w:r>
    </w:p>
    <w:p>
      <w:pPr>
        <w:jc w:val="center"/>
        <w:rPr>
          <w:sz w:val="32"/>
          <w:szCs w:val="32"/>
        </w:rPr>
      </w:pPr>
      <w:r>
        <w:rPr>
          <w:sz w:val="32"/>
          <w:szCs w:val="32"/>
        </w:rPr>
        <w:t>图1-1   2005-2020全市机动车总量变化图</w:t>
      </w:r>
    </w:p>
    <w:p>
      <w:pPr>
        <w:jc w:val="center"/>
        <w:rPr>
          <w:sz w:val="32"/>
          <w:szCs w:val="32"/>
        </w:rPr>
      </w:pPr>
      <w:r>
        <w:rPr>
          <w:sz w:val="32"/>
          <w:szCs w:val="32"/>
        </w:rPr>
        <w:drawing>
          <wp:inline distT="0" distB="0" distL="114300" distR="114300">
            <wp:extent cx="4587875" cy="1734185"/>
            <wp:effectExtent l="0" t="0" r="3175" b="18415"/>
            <wp:docPr id="19" name="图片 2"/>
            <wp:cNvGraphicFramePr/>
            <a:graphic xmlns:a="http://schemas.openxmlformats.org/drawingml/2006/main">
              <a:graphicData uri="http://schemas.openxmlformats.org/drawingml/2006/picture">
                <pic:pic xmlns:pic="http://schemas.openxmlformats.org/drawingml/2006/picture">
                  <pic:nvPicPr>
                    <pic:cNvPr id="19" name="图片 2"/>
                    <pic:cNvPicPr/>
                  </pic:nvPicPr>
                  <pic:blipFill>
                    <a:blip r:embed="rId9"/>
                    <a:srcRect l="1039" t="12389" r="1581" b="2150"/>
                    <a:stretch>
                      <a:fillRect/>
                    </a:stretch>
                  </pic:blipFill>
                  <pic:spPr>
                    <a:xfrm>
                      <a:off x="0" y="0"/>
                      <a:ext cx="4587875" cy="1734185"/>
                    </a:xfrm>
                    <a:prstGeom prst="rect">
                      <a:avLst/>
                    </a:prstGeom>
                    <a:noFill/>
                    <a:ln w="9525">
                      <a:noFill/>
                    </a:ln>
                  </pic:spPr>
                </pic:pic>
              </a:graphicData>
            </a:graphic>
          </wp:inline>
        </w:drawing>
      </w:r>
    </w:p>
    <w:p>
      <w:pPr>
        <w:jc w:val="center"/>
        <w:rPr>
          <w:sz w:val="32"/>
          <w:szCs w:val="32"/>
        </w:rPr>
      </w:pPr>
      <w:r>
        <w:rPr>
          <w:sz w:val="32"/>
          <w:szCs w:val="32"/>
        </w:rPr>
        <w:t>图1-2   2005-2020全市机动车增长率变化图</w:t>
      </w:r>
    </w:p>
    <w:p>
      <w:pPr>
        <w:pStyle w:val="4"/>
        <w:spacing w:beforeAutospacing="0" w:afterAutospacing="0"/>
        <w:ind w:firstLine="650" w:firstLineChars="200"/>
        <w:jc w:val="both"/>
        <w:rPr>
          <w:rFonts w:hint="default" w:ascii="Times New Roman" w:hAnsi="Times New Roman"/>
          <w:sz w:val="32"/>
          <w:szCs w:val="32"/>
        </w:rPr>
      </w:pPr>
      <w:bookmarkStart w:id="44" w:name="_Toc504038198"/>
      <w:bookmarkStart w:id="45" w:name="_Toc87956381"/>
      <w:bookmarkStart w:id="46" w:name="_Toc504035840"/>
      <w:bookmarkStart w:id="47" w:name="_Toc2438"/>
      <w:bookmarkStart w:id="48" w:name="_Toc480892141"/>
      <w:bookmarkStart w:id="49" w:name="_Toc31336"/>
      <w:bookmarkStart w:id="50" w:name="_Toc479525454"/>
      <w:bookmarkStart w:id="51" w:name="_Toc460434452"/>
      <w:bookmarkStart w:id="52" w:name="_Toc460434323"/>
      <w:bookmarkStart w:id="53" w:name="_Toc460436269"/>
      <w:bookmarkStart w:id="54" w:name="_Toc504036985"/>
      <w:bookmarkStart w:id="55" w:name="_Toc504035730"/>
      <w:bookmarkStart w:id="56" w:name="_Toc492406065"/>
      <w:bookmarkStart w:id="57" w:name="_Toc504035961"/>
      <w:bookmarkStart w:id="58" w:name="_Toc480480725"/>
      <w:bookmarkStart w:id="59" w:name="_Toc178"/>
      <w:bookmarkStart w:id="60" w:name="_Toc96528552"/>
      <w:r>
        <w:rPr>
          <w:rFonts w:hint="default" w:ascii="Times New Roman" w:hAnsi="Times New Roman"/>
          <w:sz w:val="32"/>
          <w:szCs w:val="32"/>
        </w:rPr>
        <w:t>1.3成品油零售体系发展状况</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480"/>
        <w:rPr>
          <w:sz w:val="32"/>
          <w:szCs w:val="32"/>
        </w:rPr>
      </w:pPr>
      <w:r>
        <w:rPr>
          <w:sz w:val="32"/>
          <w:szCs w:val="32"/>
        </w:rPr>
        <w:t>“十三五”期间，重庆市市域范围的加油站进入了按规划、规范建设时期，基本消除了不按规划、不经有关部门批准许可，随意建设的状况。随着油气回收、阻隔防爆等技术及新的加油站工艺设计引入，加油站安全等级得到较大提升，加油站服务质量大大提高，成品油销售量稳步增长。加油站24小时连锁便利店、洗车等非油品、汽车服务业务也蓬勃发展，为汽车驾乘人员，特别是上班人员和出租车驾驶员以及周边老百姓提供了极大的消费方便，也成为成品油行业新的利润增值空间。</w:t>
      </w:r>
    </w:p>
    <w:p>
      <w:pPr>
        <w:pStyle w:val="5"/>
        <w:spacing w:afterLines="0" w:line="240" w:lineRule="auto"/>
        <w:ind w:firstLine="650" w:firstLineChars="200"/>
        <w:rPr>
          <w:rFonts w:ascii="Times New Roman" w:hAnsi="Times New Roman" w:eastAsia="宋体"/>
          <w:sz w:val="32"/>
        </w:rPr>
      </w:pPr>
      <w:bookmarkStart w:id="61" w:name="_Toc504038139"/>
      <w:bookmarkStart w:id="62" w:name="_Toc504035902"/>
      <w:bookmarkStart w:id="63" w:name="_Toc96528553"/>
      <w:bookmarkStart w:id="64" w:name="_Toc87956382"/>
      <w:bookmarkStart w:id="65" w:name="_Toc463698402"/>
      <w:bookmarkStart w:id="66" w:name="_Toc504036928"/>
      <w:bookmarkStart w:id="67" w:name="_Toc2213"/>
      <w:bookmarkStart w:id="68" w:name="_Toc676"/>
      <w:bookmarkStart w:id="69" w:name="_Toc460436213"/>
      <w:bookmarkStart w:id="70" w:name="_Toc23160"/>
      <w:bookmarkStart w:id="71" w:name="_Toc480480670"/>
      <w:bookmarkStart w:id="72" w:name="_Toc480892084"/>
      <w:bookmarkStart w:id="73" w:name="_Toc479525399"/>
      <w:bookmarkStart w:id="74" w:name="_Toc492406008"/>
      <w:bookmarkStart w:id="75" w:name="_Toc504035781"/>
      <w:bookmarkStart w:id="76" w:name="_Toc504035690"/>
      <w:bookmarkStart w:id="77" w:name="_Toc460434396"/>
      <w:bookmarkStart w:id="78" w:name="_Toc460434265"/>
      <w:r>
        <w:rPr>
          <w:rFonts w:ascii="Times New Roman" w:hAnsi="Times New Roman" w:eastAsia="宋体"/>
          <w:sz w:val="32"/>
        </w:rPr>
        <w:t>1.3.1成品油销售量及增长情况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ind w:firstLine="650" w:firstLineChars="200"/>
        <w:rPr>
          <w:sz w:val="32"/>
          <w:szCs w:val="32"/>
        </w:rPr>
      </w:pPr>
      <w:r>
        <w:rPr>
          <w:sz w:val="32"/>
          <w:szCs w:val="32"/>
        </w:rPr>
        <w:t>十三五期间，成品油销售年增长率为2-3%，但2020年受新冠肺炎疫情影响，全市成品油消费量约883万吨，同比减少9.3%。其中汽油消费量约410万吨，同比下降10%；柴油消费量约387万吨，同比下降6.2%；煤油（航空煤油）约86万吨，同比下降19.8%。</w:t>
      </w:r>
    </w:p>
    <w:p>
      <w:pPr>
        <w:pStyle w:val="5"/>
        <w:spacing w:afterLines="0" w:line="240" w:lineRule="auto"/>
        <w:ind w:firstLine="650" w:firstLineChars="200"/>
        <w:rPr>
          <w:rFonts w:ascii="Times New Roman" w:hAnsi="Times New Roman" w:eastAsia="宋体"/>
          <w:sz w:val="32"/>
        </w:rPr>
      </w:pPr>
      <w:bookmarkStart w:id="79" w:name="_Toc504038140"/>
      <w:bookmarkStart w:id="80" w:name="_Toc87956383"/>
      <w:bookmarkStart w:id="81" w:name="_Toc96528554"/>
      <w:bookmarkStart w:id="82" w:name="_Toc28804"/>
      <w:bookmarkStart w:id="83" w:name="_Toc480892085"/>
      <w:bookmarkStart w:id="84" w:name="_Toc479525400"/>
      <w:bookmarkStart w:id="85" w:name="_Toc504036929"/>
      <w:bookmarkStart w:id="86" w:name="_Toc480480671"/>
      <w:bookmarkStart w:id="87" w:name="_Toc504035782"/>
      <w:bookmarkStart w:id="88" w:name="_Toc504035691"/>
      <w:bookmarkStart w:id="89" w:name="_Toc460434397"/>
      <w:bookmarkStart w:id="90" w:name="_Toc460434266"/>
      <w:bookmarkStart w:id="91" w:name="_Toc492406009"/>
      <w:bookmarkStart w:id="92" w:name="_Toc32231"/>
      <w:bookmarkStart w:id="93" w:name="_Toc460436214"/>
      <w:bookmarkStart w:id="94" w:name="_Toc9732"/>
      <w:bookmarkStart w:id="95" w:name="_Toc463698403"/>
      <w:bookmarkStart w:id="96" w:name="_Toc504035903"/>
      <w:r>
        <w:rPr>
          <w:rFonts w:ascii="Times New Roman" w:hAnsi="Times New Roman" w:eastAsia="宋体"/>
          <w:sz w:val="32"/>
        </w:rPr>
        <w:t>1.3.2成品油企业基本情况</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ind w:firstLine="480"/>
        <w:rPr>
          <w:sz w:val="32"/>
          <w:szCs w:val="32"/>
        </w:rPr>
      </w:pPr>
      <w:r>
        <w:rPr>
          <w:sz w:val="32"/>
          <w:szCs w:val="32"/>
        </w:rPr>
        <w:t>截止2020年12月底，全市共有成品油批发企业43家（其中成品油仓储企业10家），总库容115万立方米（其中中石油13座，库容49万立方米；中石化8座，库容18万立方米；其他国有企业9座，库容21万立方米；民营企业13座，库容26万立方米）。</w:t>
      </w:r>
    </w:p>
    <w:p>
      <w:pPr>
        <w:pStyle w:val="5"/>
        <w:spacing w:afterLines="0" w:line="240" w:lineRule="auto"/>
        <w:ind w:firstLine="650" w:firstLineChars="200"/>
        <w:rPr>
          <w:rFonts w:ascii="Times New Roman" w:hAnsi="Times New Roman" w:eastAsia="宋体"/>
          <w:sz w:val="32"/>
        </w:rPr>
      </w:pPr>
      <w:bookmarkStart w:id="97" w:name="_Toc87956384"/>
      <w:bookmarkStart w:id="98" w:name="_Toc96528555"/>
      <w:r>
        <w:rPr>
          <w:rFonts w:ascii="Times New Roman" w:hAnsi="Times New Roman" w:eastAsia="宋体"/>
          <w:sz w:val="32"/>
        </w:rPr>
        <w:t>1.3.3成品油加油站现状情况</w:t>
      </w:r>
      <w:bookmarkEnd w:id="97"/>
      <w:bookmarkEnd w:id="98"/>
    </w:p>
    <w:p>
      <w:pPr>
        <w:ind w:firstLine="650" w:firstLineChars="200"/>
        <w:rPr>
          <w:sz w:val="32"/>
          <w:szCs w:val="32"/>
        </w:rPr>
      </w:pPr>
      <w:r>
        <w:rPr>
          <w:sz w:val="32"/>
          <w:szCs w:val="32"/>
        </w:rPr>
        <w:t>“十三五”期末，全市成品油加油站1738座。从权属看：中石油541座，中石化296座，其他国有155座，民营678座，中外合资68座。从区域看：中心城区加油站点402座，区县加油站点1336座。我市加油站布局较为合理，在充分满足城市供应需求之外，基本覆盖了乡镇和农村地区主要区域。</w:t>
      </w:r>
    </w:p>
    <w:p>
      <w:pPr>
        <w:jc w:val="center"/>
        <w:rPr>
          <w:sz w:val="32"/>
          <w:szCs w:val="32"/>
        </w:rPr>
      </w:pPr>
      <w:r>
        <w:rPr>
          <w:sz w:val="32"/>
          <w:szCs w:val="32"/>
        </w:rPr>
        <w:drawing>
          <wp:inline distT="0" distB="0" distL="114300" distR="114300">
            <wp:extent cx="2168525" cy="2056130"/>
            <wp:effectExtent l="0" t="0" r="3175" b="1270"/>
            <wp:docPr id="23" name="图片 3"/>
            <wp:cNvGraphicFramePr/>
            <a:graphic xmlns:a="http://schemas.openxmlformats.org/drawingml/2006/main">
              <a:graphicData uri="http://schemas.openxmlformats.org/drawingml/2006/picture">
                <pic:pic xmlns:pic="http://schemas.openxmlformats.org/drawingml/2006/picture">
                  <pic:nvPicPr>
                    <pic:cNvPr id="23" name="图片 3"/>
                    <pic:cNvPicPr/>
                  </pic:nvPicPr>
                  <pic:blipFill>
                    <a:blip r:embed="rId10"/>
                    <a:srcRect l="20013" t="2611" r="19797" b="2611"/>
                    <a:stretch>
                      <a:fillRect/>
                    </a:stretch>
                  </pic:blipFill>
                  <pic:spPr>
                    <a:xfrm>
                      <a:off x="0" y="0"/>
                      <a:ext cx="2168525" cy="2056130"/>
                    </a:xfrm>
                    <a:prstGeom prst="rect">
                      <a:avLst/>
                    </a:prstGeom>
                    <a:noFill/>
                    <a:ln w="9525">
                      <a:noFill/>
                    </a:ln>
                  </pic:spPr>
                </pic:pic>
              </a:graphicData>
            </a:graphic>
          </wp:inline>
        </w:drawing>
      </w:r>
    </w:p>
    <w:p>
      <w:pPr>
        <w:jc w:val="center"/>
        <w:rPr>
          <w:sz w:val="32"/>
          <w:szCs w:val="32"/>
        </w:rPr>
      </w:pPr>
      <w:r>
        <w:rPr>
          <w:sz w:val="32"/>
          <w:szCs w:val="32"/>
        </w:rPr>
        <w:t>图1-3 重庆市加油站权属图</w:t>
      </w:r>
    </w:p>
    <w:p>
      <w:pPr>
        <w:pStyle w:val="5"/>
        <w:spacing w:afterLines="0" w:line="240" w:lineRule="auto"/>
        <w:ind w:firstLine="650" w:firstLineChars="200"/>
        <w:rPr>
          <w:rFonts w:ascii="Times New Roman" w:hAnsi="Times New Roman" w:eastAsia="宋体"/>
          <w:sz w:val="32"/>
        </w:rPr>
      </w:pPr>
      <w:bookmarkStart w:id="99" w:name="_Toc460434324"/>
      <w:bookmarkStart w:id="100" w:name="_Toc460434453"/>
      <w:bookmarkStart w:id="101" w:name="_Toc460436035"/>
      <w:bookmarkStart w:id="102" w:name="_Toc504035841"/>
      <w:bookmarkStart w:id="103" w:name="_Toc96528556"/>
      <w:bookmarkStart w:id="104" w:name="_Toc87956385"/>
      <w:bookmarkStart w:id="105" w:name="_Toc504036986"/>
      <w:r>
        <w:rPr>
          <w:rFonts w:ascii="Times New Roman" w:hAnsi="Times New Roman" w:eastAsia="宋体"/>
          <w:sz w:val="32"/>
        </w:rPr>
        <w:t>1.</w:t>
      </w:r>
      <w:bookmarkEnd w:id="99"/>
      <w:bookmarkEnd w:id="100"/>
      <w:bookmarkEnd w:id="101"/>
      <w:r>
        <w:rPr>
          <w:rFonts w:ascii="Times New Roman" w:hAnsi="Times New Roman" w:eastAsia="宋体"/>
          <w:sz w:val="32"/>
        </w:rPr>
        <w:t>3.4成品油零售加油站建设存在的主要问题</w:t>
      </w:r>
      <w:bookmarkEnd w:id="102"/>
      <w:bookmarkEnd w:id="103"/>
      <w:bookmarkEnd w:id="104"/>
      <w:bookmarkEnd w:id="105"/>
    </w:p>
    <w:p>
      <w:pPr>
        <w:ind w:firstLine="650" w:firstLineChars="200"/>
        <w:rPr>
          <w:sz w:val="32"/>
          <w:szCs w:val="32"/>
        </w:rPr>
      </w:pPr>
      <w:bookmarkStart w:id="106" w:name="_Toc504036987"/>
      <w:bookmarkStart w:id="107" w:name="_Toc492406067"/>
      <w:bookmarkStart w:id="108" w:name="_Toc480892143"/>
      <w:bookmarkStart w:id="109" w:name="_Toc504035842"/>
      <w:bookmarkStart w:id="110" w:name="_Toc504035731"/>
      <w:bookmarkStart w:id="111" w:name="_Toc504038200"/>
      <w:bookmarkStart w:id="112" w:name="_Toc504035963"/>
      <w:bookmarkStart w:id="113" w:name="_Toc460434325"/>
      <w:bookmarkStart w:id="114" w:name="_Toc460436271"/>
      <w:bookmarkStart w:id="115" w:name="_Toc15543"/>
      <w:bookmarkStart w:id="116" w:name="_Toc19245"/>
      <w:bookmarkStart w:id="117" w:name="_Toc460434454"/>
      <w:bookmarkStart w:id="118" w:name="_Toc8523"/>
      <w:bookmarkStart w:id="119" w:name="_Toc480480727"/>
      <w:bookmarkStart w:id="120" w:name="_Toc479525456"/>
      <w:r>
        <w:rPr>
          <w:sz w:val="32"/>
          <w:szCs w:val="32"/>
        </w:rPr>
        <w:t>1．现有加油站总体数量同比其他城市偏少</w:t>
      </w:r>
      <w:bookmarkEnd w:id="106"/>
      <w:bookmarkEnd w:id="107"/>
      <w:bookmarkEnd w:id="108"/>
      <w:bookmarkEnd w:id="109"/>
      <w:bookmarkEnd w:id="110"/>
      <w:bookmarkEnd w:id="111"/>
      <w:bookmarkEnd w:id="112"/>
    </w:p>
    <w:p>
      <w:pPr>
        <w:ind w:firstLine="650" w:firstLineChars="200"/>
        <w:rPr>
          <w:sz w:val="32"/>
          <w:szCs w:val="32"/>
        </w:rPr>
      </w:pPr>
      <w:bookmarkStart w:id="121" w:name="_Toc480887454"/>
      <w:r>
        <w:rPr>
          <w:sz w:val="32"/>
          <w:szCs w:val="32"/>
        </w:rPr>
        <w:t>截止“十三五”末期，全国加油站总量近12万座，我市仅1700余座，约占全国加油站的1.4%，但我市人口总量在3205万人左右，约占全国的2.2%左右。重庆幅员面积8.24万平方千米，加油站总量远不如幅员面积大体相当的东中部省市，如江苏省幅员面积10.72万平方千米，现有加油站4190座左右，浙江省幅员面积10.55万平方千米，现有加油站4780座。</w:t>
      </w:r>
      <w:bookmarkEnd w:id="121"/>
      <w:bookmarkStart w:id="122" w:name="_Toc504035914"/>
      <w:bookmarkStart w:id="123" w:name="_Toc504036940"/>
      <w:bookmarkStart w:id="124" w:name="_Toc504038151"/>
      <w:bookmarkStart w:id="125" w:name="_Toc504035700"/>
      <w:bookmarkStart w:id="126" w:name="_Toc504035793"/>
      <w:bookmarkStart w:id="127" w:name="_Toc492406020"/>
      <w:bookmarkStart w:id="128" w:name="_Toc480892096"/>
    </w:p>
    <w:p>
      <w:pPr>
        <w:ind w:firstLine="650" w:firstLineChars="200"/>
        <w:rPr>
          <w:sz w:val="32"/>
          <w:szCs w:val="32"/>
        </w:rPr>
      </w:pPr>
      <w:r>
        <w:rPr>
          <w:sz w:val="32"/>
          <w:szCs w:val="32"/>
        </w:rPr>
        <w:t>2．成品油市场非法经营仍然突出</w:t>
      </w:r>
      <w:bookmarkEnd w:id="122"/>
      <w:bookmarkEnd w:id="123"/>
      <w:bookmarkEnd w:id="124"/>
      <w:bookmarkEnd w:id="125"/>
      <w:bookmarkEnd w:id="126"/>
      <w:bookmarkEnd w:id="127"/>
      <w:bookmarkEnd w:id="128"/>
    </w:p>
    <w:p>
      <w:pPr>
        <w:ind w:firstLine="650" w:firstLineChars="200"/>
        <w:rPr>
          <w:sz w:val="32"/>
          <w:szCs w:val="32"/>
        </w:rPr>
      </w:pPr>
      <w:r>
        <w:rPr>
          <w:sz w:val="32"/>
          <w:szCs w:val="32"/>
        </w:rPr>
        <w:t>近年来随着机动车保有量增长用油需求量的增加、重点项目建设工程的增多、“低品油退市”、油品批发来源渠道多、经济发展快而加油站偏少等因素影响，尤其成品油批零价差大，吸引一些不法商人千方百计非法经营成品油。</w:t>
      </w:r>
    </w:p>
    <w:p>
      <w:pPr>
        <w:ind w:firstLine="650" w:firstLineChars="200"/>
        <w:rPr>
          <w:sz w:val="32"/>
          <w:szCs w:val="32"/>
        </w:rPr>
      </w:pPr>
      <w:bookmarkStart w:id="129" w:name="_Toc479525457"/>
      <w:bookmarkStart w:id="130" w:name="_Toc504035733"/>
      <w:bookmarkStart w:id="131" w:name="_Toc492406069"/>
      <w:bookmarkStart w:id="132" w:name="_Toc27802"/>
      <w:bookmarkStart w:id="133" w:name="_Toc504035844"/>
      <w:bookmarkStart w:id="134" w:name="_Toc504035965"/>
      <w:bookmarkStart w:id="135" w:name="_Toc504036989"/>
      <w:bookmarkStart w:id="136" w:name="_Toc504038202"/>
      <w:bookmarkStart w:id="137" w:name="_Toc480892145"/>
      <w:bookmarkStart w:id="138" w:name="_Toc480480728"/>
      <w:r>
        <w:rPr>
          <w:sz w:val="32"/>
          <w:szCs w:val="32"/>
        </w:rPr>
        <w:t>3．部分加油站不适应城乡发展的需要</w:t>
      </w:r>
      <w:bookmarkEnd w:id="129"/>
      <w:bookmarkEnd w:id="130"/>
      <w:bookmarkEnd w:id="131"/>
      <w:bookmarkEnd w:id="132"/>
      <w:bookmarkEnd w:id="133"/>
      <w:bookmarkEnd w:id="134"/>
      <w:bookmarkEnd w:id="135"/>
      <w:bookmarkEnd w:id="136"/>
      <w:bookmarkEnd w:id="137"/>
      <w:bookmarkEnd w:id="138"/>
    </w:p>
    <w:p>
      <w:pPr>
        <w:ind w:firstLine="650" w:firstLineChars="200"/>
        <w:rPr>
          <w:sz w:val="32"/>
          <w:szCs w:val="32"/>
        </w:rPr>
      </w:pPr>
      <w:r>
        <w:rPr>
          <w:sz w:val="32"/>
          <w:szCs w:val="32"/>
        </w:rPr>
        <w:t>由于历史局限、建设水准和地理条件的限制，部分加油站存在设计、建设不规范，站内布局空间不足的情况；选址、交通组织不尽合理，导致建设难度较大，挤占公共道路的情况；部分加油站长期处于高负荷营运，没有进行改造，设施设备老化，存在一定安全隐患等情况；建议对这些加油站应运用先进的设计理念和工艺技术，采用现代安全控制设备进行改造设计，促进精准化、精细化优质服务。</w:t>
      </w:r>
    </w:p>
    <w:p>
      <w:pPr>
        <w:ind w:firstLine="650" w:firstLineChars="200"/>
        <w:rPr>
          <w:sz w:val="32"/>
          <w:szCs w:val="32"/>
        </w:rPr>
      </w:pPr>
      <w:bookmarkStart w:id="139" w:name="_Toc504035964"/>
      <w:bookmarkStart w:id="140" w:name="_Toc504035843"/>
      <w:bookmarkStart w:id="141" w:name="_Toc504035732"/>
      <w:bookmarkStart w:id="142" w:name="_Toc492406068"/>
      <w:bookmarkStart w:id="143" w:name="_Toc504036988"/>
      <w:bookmarkStart w:id="144" w:name="_Toc480892144"/>
      <w:bookmarkStart w:id="145" w:name="_Toc504038201"/>
      <w:r>
        <w:rPr>
          <w:sz w:val="32"/>
          <w:szCs w:val="32"/>
        </w:rPr>
        <w:t>4．城区加油站</w:t>
      </w:r>
      <w:bookmarkEnd w:id="113"/>
      <w:bookmarkEnd w:id="114"/>
      <w:bookmarkEnd w:id="115"/>
      <w:bookmarkEnd w:id="116"/>
      <w:bookmarkEnd w:id="117"/>
      <w:bookmarkEnd w:id="118"/>
      <w:r>
        <w:rPr>
          <w:sz w:val="32"/>
          <w:szCs w:val="32"/>
        </w:rPr>
        <w:t>分布不均</w:t>
      </w:r>
      <w:bookmarkEnd w:id="119"/>
      <w:bookmarkEnd w:id="120"/>
      <w:bookmarkEnd w:id="139"/>
      <w:bookmarkEnd w:id="140"/>
      <w:bookmarkEnd w:id="141"/>
      <w:bookmarkEnd w:id="142"/>
      <w:bookmarkEnd w:id="143"/>
      <w:bookmarkEnd w:id="144"/>
      <w:bookmarkEnd w:id="145"/>
    </w:p>
    <w:p>
      <w:pPr>
        <w:ind w:firstLine="650" w:firstLineChars="200"/>
        <w:rPr>
          <w:sz w:val="32"/>
          <w:szCs w:val="32"/>
        </w:rPr>
      </w:pPr>
      <w:r>
        <w:rPr>
          <w:sz w:val="32"/>
          <w:szCs w:val="32"/>
        </w:rPr>
        <w:t>由于历史原因，部分现状加油站存在“扎堆”现象，站点间距不足、分布不均。总的来讲，重庆中心城区渝中区、九龙坡区、巴南区、江北区加油站总数偏多，两江新区、高新区以及区县加油站实际服务半径较大，部分新增城市建设用地区域存在服务空白。</w:t>
      </w:r>
    </w:p>
    <w:p>
      <w:pPr>
        <w:ind w:firstLine="650" w:firstLineChars="200"/>
        <w:rPr>
          <w:sz w:val="32"/>
          <w:szCs w:val="32"/>
        </w:rPr>
      </w:pPr>
      <w:bookmarkStart w:id="146" w:name="_Toc792"/>
      <w:bookmarkStart w:id="147" w:name="_Toc479525458"/>
      <w:bookmarkStart w:id="148" w:name="_Toc480480729"/>
      <w:bookmarkStart w:id="149" w:name="_Toc480892146"/>
      <w:bookmarkStart w:id="150" w:name="_Toc492406070"/>
      <w:bookmarkStart w:id="151" w:name="_Toc504035734"/>
      <w:bookmarkStart w:id="152" w:name="_Toc504036990"/>
      <w:bookmarkStart w:id="153" w:name="_Toc504035966"/>
      <w:bookmarkStart w:id="154" w:name="_Toc504035845"/>
      <w:bookmarkStart w:id="155" w:name="_Toc504038203"/>
      <w:bookmarkStart w:id="156" w:name="_Toc460434456"/>
      <w:bookmarkStart w:id="157" w:name="_Toc460436273"/>
      <w:bookmarkStart w:id="158" w:name="_Toc460434327"/>
      <w:bookmarkStart w:id="159" w:name="_Toc23252"/>
      <w:bookmarkStart w:id="160" w:name="_Toc4900"/>
      <w:r>
        <w:rPr>
          <w:sz w:val="32"/>
          <w:szCs w:val="32"/>
        </w:rPr>
        <w:t>5．农村加油站建设进度缓慢</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sz w:val="32"/>
          <w:szCs w:val="32"/>
        </w:rPr>
        <w:t xml:space="preserve"> </w:t>
      </w:r>
    </w:p>
    <w:p>
      <w:pPr>
        <w:ind w:firstLine="650" w:firstLineChars="200"/>
        <w:rPr>
          <w:sz w:val="32"/>
          <w:szCs w:val="32"/>
        </w:rPr>
      </w:pPr>
      <w:r>
        <w:rPr>
          <w:sz w:val="32"/>
          <w:szCs w:val="32"/>
        </w:rPr>
        <w:t>“十三五”期间，虽然对农村及偏远山区的加油站进行了规划，但是农村加油站的单站效益较低，建设的积极性不高，因而整体建设进度缓慢。十四五期间应从农村发展实际出发，增加相关加油站的规划，以实现城乡统筹发展。</w:t>
      </w:r>
    </w:p>
    <w:p>
      <w:pPr>
        <w:ind w:firstLine="650" w:firstLineChars="200"/>
        <w:rPr>
          <w:sz w:val="32"/>
          <w:szCs w:val="32"/>
        </w:rPr>
      </w:pPr>
      <w:bookmarkStart w:id="161" w:name="_Toc504038204"/>
      <w:bookmarkStart w:id="162" w:name="_Toc479525459"/>
      <w:bookmarkStart w:id="163" w:name="_Toc480480730"/>
      <w:bookmarkStart w:id="164" w:name="_Toc504035846"/>
      <w:bookmarkStart w:id="165" w:name="_Toc504035967"/>
      <w:bookmarkStart w:id="166" w:name="_Toc460434328"/>
      <w:bookmarkStart w:id="167" w:name="_Toc504036991"/>
      <w:bookmarkStart w:id="168" w:name="_Toc460434457"/>
      <w:bookmarkStart w:id="169" w:name="_Toc460436274"/>
      <w:bookmarkStart w:id="170" w:name="_Toc504035735"/>
      <w:bookmarkStart w:id="171" w:name="_Toc492406071"/>
      <w:bookmarkStart w:id="172" w:name="_Toc24798"/>
      <w:bookmarkStart w:id="173" w:name="_Toc11927"/>
      <w:bookmarkStart w:id="174" w:name="_Toc6146"/>
      <w:bookmarkStart w:id="175" w:name="_Toc480892147"/>
      <w:r>
        <w:rPr>
          <w:sz w:val="32"/>
          <w:szCs w:val="32"/>
        </w:rPr>
        <w:t>6．加油站</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sz w:val="32"/>
          <w:szCs w:val="32"/>
        </w:rPr>
        <w:t>实施难度大</w:t>
      </w:r>
    </w:p>
    <w:p>
      <w:pPr>
        <w:ind w:firstLine="650" w:firstLineChars="200"/>
        <w:rPr>
          <w:sz w:val="32"/>
          <w:szCs w:val="32"/>
        </w:rPr>
      </w:pPr>
      <w:r>
        <w:rPr>
          <w:sz w:val="32"/>
          <w:szCs w:val="32"/>
        </w:rPr>
        <w:t>加油站为邻避设施，本身实施难度就相对较大。“十三五”初期规划的加油站中还有大部分加油站到“十三五”末期仍未落实，一方面原因是加油站建设从预核准到取得用地手续往往周期较长，另一方面由于城市建设发展的需要，已规划的加油站因用地矛盾、间距不足、现状拆迁等因各种因素需要调整，导致落地困难。以中心城区为例，截至2020年末，经过15年的发展，布点规划的260座加油站（含油气合建站）还有153座未建成，86座站点尚未办理任何规划手续。</w:t>
      </w:r>
    </w:p>
    <w:p>
      <w:pPr>
        <w:pStyle w:val="16"/>
        <w:spacing w:line="240" w:lineRule="auto"/>
        <w:jc w:val="center"/>
        <w:rPr>
          <w:rFonts w:ascii="Times New Roman" w:hAnsi="Times New Roman" w:eastAsia="宋体"/>
          <w:sz w:val="32"/>
        </w:rPr>
      </w:pPr>
      <w:bookmarkStart w:id="176" w:name="_Toc460434459"/>
      <w:bookmarkStart w:id="177" w:name="_Toc504036993"/>
      <w:bookmarkStart w:id="178" w:name="_Toc87956386"/>
      <w:bookmarkStart w:id="179" w:name="_Toc96528557"/>
      <w:bookmarkStart w:id="180" w:name="_Toc460434330"/>
      <w:bookmarkStart w:id="181" w:name="_Toc504035736"/>
      <w:bookmarkStart w:id="182" w:name="_Toc504035848"/>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b/>
          <w:bCs w:val="0"/>
          <w:sz w:val="32"/>
        </w:rPr>
      </w:pPr>
      <w:r>
        <w:rPr>
          <w:rFonts w:ascii="Times New Roman" w:hAnsi="Times New Roman" w:eastAsia="宋体"/>
          <w:b/>
          <w:bCs w:val="0"/>
          <w:sz w:val="32"/>
        </w:rPr>
        <w:t>第二章 “十四五”发展规划概述</w:t>
      </w:r>
      <w:bookmarkEnd w:id="176"/>
      <w:bookmarkEnd w:id="177"/>
      <w:bookmarkEnd w:id="178"/>
      <w:bookmarkEnd w:id="179"/>
      <w:bookmarkEnd w:id="180"/>
      <w:bookmarkEnd w:id="181"/>
      <w:bookmarkEnd w:id="182"/>
    </w:p>
    <w:p>
      <w:pPr>
        <w:pStyle w:val="4"/>
        <w:spacing w:beforeAutospacing="0" w:afterAutospacing="0"/>
        <w:ind w:firstLine="650" w:firstLineChars="200"/>
        <w:jc w:val="both"/>
        <w:rPr>
          <w:rFonts w:hint="default" w:ascii="Times New Roman" w:hAnsi="Times New Roman"/>
          <w:sz w:val="32"/>
          <w:szCs w:val="32"/>
        </w:rPr>
      </w:pPr>
      <w:bookmarkStart w:id="183" w:name="_Toc504035849"/>
      <w:bookmarkStart w:id="184" w:name="_Toc504036994"/>
      <w:bookmarkStart w:id="185" w:name="_Toc460434331"/>
      <w:bookmarkStart w:id="186" w:name="_Toc460436037"/>
      <w:bookmarkStart w:id="187" w:name="_Toc460434460"/>
      <w:bookmarkStart w:id="188" w:name="_Toc87956387"/>
      <w:bookmarkStart w:id="189" w:name="_Toc96528558"/>
      <w:r>
        <w:rPr>
          <w:rFonts w:hint="default" w:ascii="Times New Roman" w:hAnsi="Times New Roman"/>
          <w:sz w:val="32"/>
          <w:szCs w:val="32"/>
        </w:rPr>
        <w:t>2.1规划依据</w:t>
      </w:r>
      <w:bookmarkEnd w:id="183"/>
      <w:bookmarkEnd w:id="184"/>
      <w:bookmarkEnd w:id="185"/>
      <w:bookmarkEnd w:id="186"/>
      <w:bookmarkEnd w:id="187"/>
      <w:bookmarkEnd w:id="188"/>
      <w:bookmarkEnd w:id="189"/>
    </w:p>
    <w:p>
      <w:pPr>
        <w:ind w:firstLine="650" w:firstLineChars="200"/>
        <w:rPr>
          <w:sz w:val="32"/>
          <w:szCs w:val="32"/>
        </w:rPr>
      </w:pPr>
      <w:bookmarkStart w:id="190" w:name="_Toc504036996"/>
      <w:bookmarkStart w:id="191" w:name="_Toc504038209"/>
      <w:bookmarkStart w:id="192" w:name="_Toc479525464"/>
      <w:bookmarkStart w:id="193" w:name="_Toc480480735"/>
      <w:bookmarkStart w:id="194" w:name="_Toc480892152"/>
      <w:bookmarkStart w:id="195" w:name="_Toc492406076"/>
      <w:bookmarkStart w:id="196" w:name="_Toc504035738"/>
      <w:bookmarkStart w:id="197" w:name="_Toc504035851"/>
      <w:bookmarkStart w:id="198" w:name="_Toc504035972"/>
      <w:r>
        <w:rPr>
          <w:sz w:val="32"/>
          <w:szCs w:val="32"/>
        </w:rPr>
        <w:t>《中华人民共和国城乡规划法》2015年4月24日修编；</w:t>
      </w:r>
    </w:p>
    <w:p>
      <w:pPr>
        <w:ind w:firstLine="650" w:firstLineChars="200"/>
        <w:rPr>
          <w:sz w:val="32"/>
          <w:szCs w:val="32"/>
        </w:rPr>
      </w:pPr>
      <w:r>
        <w:rPr>
          <w:sz w:val="32"/>
          <w:szCs w:val="32"/>
        </w:rPr>
        <w:t>《中华人民共和国环境保护法》2018 年1月1日起施行；</w:t>
      </w:r>
    </w:p>
    <w:p>
      <w:pPr>
        <w:ind w:firstLine="650" w:firstLineChars="200"/>
        <w:rPr>
          <w:sz w:val="32"/>
          <w:szCs w:val="32"/>
        </w:rPr>
      </w:pPr>
      <w:r>
        <w:rPr>
          <w:sz w:val="32"/>
          <w:szCs w:val="32"/>
        </w:rPr>
        <w:t>《危险化学品安全管理条例》国务院令2002年第344号，2011年2月16日修订；</w:t>
      </w:r>
    </w:p>
    <w:p>
      <w:pPr>
        <w:ind w:firstLine="650" w:firstLineChars="200"/>
        <w:rPr>
          <w:sz w:val="32"/>
          <w:szCs w:val="32"/>
        </w:rPr>
      </w:pPr>
      <w:r>
        <w:rPr>
          <w:sz w:val="32"/>
          <w:szCs w:val="32"/>
        </w:rPr>
        <w:t>《汽车加油加气加氢站技术标准》GB50156-2021；</w:t>
      </w:r>
    </w:p>
    <w:p>
      <w:pPr>
        <w:ind w:firstLine="650" w:firstLineChars="200"/>
        <w:rPr>
          <w:sz w:val="32"/>
          <w:szCs w:val="32"/>
        </w:rPr>
      </w:pPr>
      <w:r>
        <w:rPr>
          <w:sz w:val="32"/>
          <w:szCs w:val="32"/>
        </w:rPr>
        <w:t>《成品油零售企业管理技术规范》SB/T10390-2004；</w:t>
      </w:r>
    </w:p>
    <w:p>
      <w:pPr>
        <w:ind w:firstLine="650" w:firstLineChars="200"/>
        <w:rPr>
          <w:sz w:val="32"/>
          <w:szCs w:val="32"/>
        </w:rPr>
      </w:pPr>
      <w:r>
        <w:rPr>
          <w:sz w:val="32"/>
          <w:szCs w:val="32"/>
        </w:rPr>
        <w:t>《重庆市城乡规划条例》2016年修订；</w:t>
      </w:r>
    </w:p>
    <w:p>
      <w:pPr>
        <w:ind w:firstLine="650" w:firstLineChars="200"/>
        <w:rPr>
          <w:sz w:val="32"/>
          <w:szCs w:val="32"/>
        </w:rPr>
      </w:pPr>
      <w:r>
        <w:rPr>
          <w:sz w:val="32"/>
          <w:szCs w:val="32"/>
        </w:rPr>
        <w:t>《重庆市成品油市场管理实施办法》渝商务[2017]591号；</w:t>
      </w:r>
    </w:p>
    <w:p>
      <w:pPr>
        <w:ind w:firstLine="650" w:firstLineChars="200"/>
        <w:rPr>
          <w:sz w:val="32"/>
          <w:szCs w:val="32"/>
        </w:rPr>
      </w:pPr>
      <w:r>
        <w:rPr>
          <w:sz w:val="32"/>
          <w:szCs w:val="32"/>
        </w:rPr>
        <w:t>《重庆市国土空间总体规划（2020-2035 年）》（在编）；</w:t>
      </w:r>
    </w:p>
    <w:p>
      <w:pPr>
        <w:ind w:firstLine="650" w:firstLineChars="200"/>
        <w:rPr>
          <w:sz w:val="32"/>
          <w:szCs w:val="32"/>
        </w:rPr>
      </w:pPr>
      <w:r>
        <w:rPr>
          <w:sz w:val="32"/>
          <w:szCs w:val="32"/>
        </w:rPr>
        <w:t>《重庆市综合交通体系规划（2019-2035）》；</w:t>
      </w:r>
    </w:p>
    <w:p>
      <w:pPr>
        <w:ind w:firstLine="650" w:firstLineChars="200"/>
        <w:rPr>
          <w:sz w:val="32"/>
          <w:szCs w:val="32"/>
        </w:rPr>
      </w:pPr>
      <w:r>
        <w:rPr>
          <w:sz w:val="32"/>
          <w:szCs w:val="32"/>
        </w:rPr>
        <w:t>《控规数据库资料》（2020年10月） ；</w:t>
      </w:r>
    </w:p>
    <w:p>
      <w:pPr>
        <w:ind w:firstLine="650" w:firstLineChars="200"/>
        <w:rPr>
          <w:sz w:val="32"/>
          <w:szCs w:val="32"/>
        </w:rPr>
      </w:pPr>
      <w:r>
        <w:rPr>
          <w:sz w:val="32"/>
          <w:szCs w:val="32"/>
        </w:rPr>
        <w:t>《重庆市加油（气）站布点规划》（2005～2020年）（以下简称05版布点规划）</w:t>
      </w:r>
    </w:p>
    <w:p>
      <w:pPr>
        <w:ind w:firstLine="650" w:firstLineChars="200"/>
        <w:rPr>
          <w:sz w:val="32"/>
          <w:szCs w:val="32"/>
        </w:rPr>
      </w:pPr>
      <w:r>
        <w:rPr>
          <w:sz w:val="32"/>
          <w:szCs w:val="32"/>
        </w:rPr>
        <w:t>《重庆市中心城区新增加油站布点规划》（以下简称07版布点规划）</w:t>
      </w:r>
    </w:p>
    <w:p>
      <w:pPr>
        <w:ind w:firstLine="650" w:firstLineChars="200"/>
        <w:rPr>
          <w:sz w:val="32"/>
          <w:szCs w:val="32"/>
        </w:rPr>
      </w:pPr>
      <w:r>
        <w:rPr>
          <w:sz w:val="32"/>
          <w:szCs w:val="32"/>
        </w:rPr>
        <w:t>《内环收费站配套设施用地及沿线部分存量土地利用研究》</w:t>
      </w:r>
    </w:p>
    <w:p>
      <w:pPr>
        <w:ind w:firstLine="650" w:firstLineChars="200"/>
        <w:rPr>
          <w:sz w:val="32"/>
          <w:szCs w:val="32"/>
        </w:rPr>
      </w:pPr>
      <w:r>
        <w:rPr>
          <w:sz w:val="32"/>
          <w:szCs w:val="32"/>
        </w:rPr>
        <w:t>《重庆市两江新区龙盛、水土片区加油（气）站布点规划》</w:t>
      </w:r>
    </w:p>
    <w:p>
      <w:pPr>
        <w:ind w:firstLine="650" w:firstLineChars="200"/>
        <w:rPr>
          <w:sz w:val="32"/>
          <w:szCs w:val="32"/>
        </w:rPr>
      </w:pPr>
      <w:r>
        <w:rPr>
          <w:sz w:val="32"/>
          <w:szCs w:val="32"/>
        </w:rPr>
        <w:t>《城市居住区规划设计规范（GB50180—93）》；</w:t>
      </w:r>
    </w:p>
    <w:p>
      <w:pPr>
        <w:ind w:firstLine="650" w:firstLineChars="200"/>
        <w:rPr>
          <w:sz w:val="32"/>
          <w:szCs w:val="32"/>
        </w:rPr>
      </w:pPr>
      <w:r>
        <w:rPr>
          <w:sz w:val="32"/>
          <w:szCs w:val="32"/>
        </w:rPr>
        <w:t>《建筑设计防火规范（GBJ16—87）》；</w:t>
      </w:r>
    </w:p>
    <w:p>
      <w:pPr>
        <w:ind w:firstLine="650" w:firstLineChars="200"/>
        <w:rPr>
          <w:sz w:val="32"/>
          <w:szCs w:val="32"/>
        </w:rPr>
      </w:pPr>
      <w:r>
        <w:rPr>
          <w:sz w:val="32"/>
          <w:szCs w:val="32"/>
        </w:rPr>
        <w:t>《城市道路交通规划设计规范（GB50220—95）》；</w:t>
      </w:r>
    </w:p>
    <w:p>
      <w:pPr>
        <w:ind w:firstLine="650" w:firstLineChars="200"/>
        <w:rPr>
          <w:sz w:val="32"/>
          <w:szCs w:val="32"/>
        </w:rPr>
      </w:pPr>
      <w:r>
        <w:rPr>
          <w:sz w:val="32"/>
          <w:szCs w:val="32"/>
        </w:rPr>
        <w:t>《高层民用建筑设计防火规范》（GB50045-95）；</w:t>
      </w:r>
    </w:p>
    <w:p>
      <w:pPr>
        <w:ind w:firstLine="650" w:firstLineChars="200"/>
        <w:rPr>
          <w:sz w:val="32"/>
          <w:szCs w:val="32"/>
        </w:rPr>
      </w:pPr>
      <w:r>
        <w:rPr>
          <w:sz w:val="32"/>
          <w:szCs w:val="32"/>
        </w:rPr>
        <w:t>《商务部关于做好石油成品油流通管理“放管服”改革工作的通知》（商运函〔2019〕659号）</w:t>
      </w:r>
    </w:p>
    <w:p>
      <w:pPr>
        <w:ind w:firstLine="650" w:firstLineChars="200"/>
        <w:rPr>
          <w:sz w:val="32"/>
          <w:szCs w:val="32"/>
        </w:rPr>
      </w:pPr>
      <w:r>
        <w:rPr>
          <w:sz w:val="32"/>
          <w:szCs w:val="32"/>
        </w:rPr>
        <w:t>《重庆市商务委员会办公室关于印发商务发展相关领域“十四五”规划编制工作方案的通知》（渝商务办〔2019〕52号）</w:t>
      </w:r>
    </w:p>
    <w:p>
      <w:pPr>
        <w:ind w:firstLine="650" w:firstLineChars="200"/>
        <w:rPr>
          <w:sz w:val="32"/>
          <w:szCs w:val="32"/>
        </w:rPr>
      </w:pPr>
      <w:r>
        <w:rPr>
          <w:sz w:val="32"/>
          <w:szCs w:val="32"/>
        </w:rPr>
        <w:t>其他法规、技术标准。</w:t>
      </w:r>
    </w:p>
    <w:bookmarkEnd w:id="190"/>
    <w:bookmarkEnd w:id="191"/>
    <w:bookmarkEnd w:id="192"/>
    <w:bookmarkEnd w:id="193"/>
    <w:bookmarkEnd w:id="194"/>
    <w:bookmarkEnd w:id="195"/>
    <w:bookmarkEnd w:id="196"/>
    <w:bookmarkEnd w:id="197"/>
    <w:bookmarkEnd w:id="198"/>
    <w:p>
      <w:pPr>
        <w:pStyle w:val="4"/>
        <w:spacing w:beforeAutospacing="0" w:afterAutospacing="0"/>
        <w:ind w:firstLine="650" w:firstLineChars="200"/>
        <w:jc w:val="both"/>
        <w:rPr>
          <w:rFonts w:hint="default" w:ascii="Times New Roman" w:hAnsi="Times New Roman"/>
          <w:sz w:val="32"/>
          <w:szCs w:val="32"/>
        </w:rPr>
      </w:pPr>
      <w:bookmarkStart w:id="199" w:name="_Toc460434332"/>
      <w:bookmarkStart w:id="200" w:name="_Toc460434461"/>
      <w:bookmarkStart w:id="201" w:name="_Toc460436038"/>
      <w:bookmarkStart w:id="202" w:name="_Toc504035852"/>
      <w:bookmarkStart w:id="203" w:name="_Toc504036997"/>
      <w:bookmarkStart w:id="204" w:name="_Toc87956388"/>
      <w:bookmarkStart w:id="205" w:name="_Toc96528559"/>
      <w:r>
        <w:rPr>
          <w:rFonts w:hint="default" w:ascii="Times New Roman" w:hAnsi="Times New Roman"/>
          <w:sz w:val="32"/>
          <w:szCs w:val="32"/>
        </w:rPr>
        <w:t>2.2规划的指导思想与原则</w:t>
      </w:r>
      <w:bookmarkEnd w:id="199"/>
      <w:bookmarkEnd w:id="200"/>
      <w:bookmarkEnd w:id="201"/>
      <w:bookmarkEnd w:id="202"/>
      <w:bookmarkEnd w:id="203"/>
      <w:bookmarkEnd w:id="204"/>
      <w:bookmarkEnd w:id="205"/>
    </w:p>
    <w:p>
      <w:pPr>
        <w:pStyle w:val="5"/>
        <w:spacing w:afterLines="0" w:line="240" w:lineRule="auto"/>
        <w:ind w:firstLine="650" w:firstLineChars="200"/>
        <w:rPr>
          <w:rFonts w:ascii="Times New Roman" w:hAnsi="Times New Roman" w:eastAsia="宋体"/>
          <w:sz w:val="32"/>
        </w:rPr>
      </w:pPr>
      <w:bookmarkStart w:id="206" w:name="_Toc480892154"/>
      <w:bookmarkStart w:id="207" w:name="_Toc492406078"/>
      <w:bookmarkStart w:id="208" w:name="_Toc504036998"/>
      <w:bookmarkStart w:id="209" w:name="_Toc504035739"/>
      <w:bookmarkStart w:id="210" w:name="_Toc504035853"/>
      <w:bookmarkStart w:id="211" w:name="_Toc504035974"/>
      <w:bookmarkStart w:id="212" w:name="_Toc31188"/>
      <w:bookmarkStart w:id="213" w:name="_Toc460436279"/>
      <w:bookmarkStart w:id="214" w:name="_Toc480480737"/>
      <w:bookmarkStart w:id="215" w:name="_Toc479525466"/>
      <w:bookmarkStart w:id="216" w:name="_Toc10919"/>
      <w:bookmarkStart w:id="217" w:name="_Toc7289"/>
      <w:bookmarkStart w:id="218" w:name="_Toc460434462"/>
      <w:bookmarkStart w:id="219" w:name="_Toc460434333"/>
      <w:bookmarkStart w:id="220" w:name="_Toc504038211"/>
      <w:bookmarkStart w:id="221" w:name="_Toc87956389"/>
      <w:bookmarkStart w:id="222" w:name="_Toc96528560"/>
      <w:r>
        <w:rPr>
          <w:rFonts w:ascii="Times New Roman" w:hAnsi="Times New Roman" w:eastAsia="宋体"/>
          <w:sz w:val="32"/>
        </w:rPr>
        <w:t>2.2.1 指导思想</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ind w:firstLine="650" w:firstLineChars="200"/>
        <w:rPr>
          <w:sz w:val="32"/>
          <w:szCs w:val="32"/>
        </w:rPr>
      </w:pPr>
      <w:r>
        <w:rPr>
          <w:sz w:val="32"/>
          <w:szCs w:val="32"/>
        </w:rPr>
        <w:t>以习近平新时代中国特色社会主义思想为指导，全面落实习近平总书记对重庆提出的“两点”定位、“两地”“两高”目标、发挥“三个作用”和营造良好政治生态的重要指示要求，按照市委、市政府统一部署，主动适应经济发展新常态，以加快转变石油流通行业发展方式为主线，以保障成品油市场稳定供应为根本目的，结合能源需求的趋势，结合《重庆市国民经济和社会发展第十四个五年规划和二〇三五年远景目标纲要》、《重庆市国土空间总体规划（2020-2035 年）》、《重庆市综合交通体系规划（2019-2035）》等相关要求，从全市加油站行业建设的实际出发，科学评价成品油零售体系，合理制定成品油零售加油站发展规划。通过编制和实施《规划》，加强对成品油零售行业发展的宏观调控，进一步健全与我市国民经济发展相适应、满足城乡广大消费者需求、布局合理、竞争有序、功能完善、安全保障的成品油零售体系，促进成品油零售加油站健康有序发展。</w:t>
      </w:r>
    </w:p>
    <w:p>
      <w:pPr>
        <w:pStyle w:val="5"/>
        <w:spacing w:afterLines="0" w:line="240" w:lineRule="auto"/>
        <w:ind w:firstLine="650" w:firstLineChars="200"/>
        <w:rPr>
          <w:rFonts w:ascii="Times New Roman" w:hAnsi="Times New Roman" w:eastAsia="宋体"/>
          <w:sz w:val="32"/>
        </w:rPr>
      </w:pPr>
      <w:bookmarkStart w:id="223" w:name="_Toc480892155"/>
      <w:bookmarkStart w:id="224" w:name="_Toc480480738"/>
      <w:bookmarkStart w:id="225" w:name="_Toc479525467"/>
      <w:bookmarkStart w:id="226" w:name="_Toc20211"/>
      <w:bookmarkStart w:id="227" w:name="_Toc5611"/>
      <w:bookmarkStart w:id="228" w:name="_Toc504035740"/>
      <w:bookmarkStart w:id="229" w:name="_Toc492406079"/>
      <w:bookmarkStart w:id="230" w:name="_Toc504036999"/>
      <w:bookmarkStart w:id="231" w:name="_Toc460436280"/>
      <w:bookmarkStart w:id="232" w:name="_Toc460434463"/>
      <w:bookmarkStart w:id="233" w:name="_Toc504035854"/>
      <w:bookmarkStart w:id="234" w:name="_Toc32479"/>
      <w:bookmarkStart w:id="235" w:name="_Toc460434334"/>
      <w:bookmarkStart w:id="236" w:name="_Toc504035975"/>
      <w:bookmarkStart w:id="237" w:name="_Toc87956390"/>
      <w:bookmarkStart w:id="238" w:name="_Toc504038212"/>
      <w:bookmarkStart w:id="239" w:name="_Toc96528561"/>
      <w:r>
        <w:rPr>
          <w:rFonts w:ascii="Times New Roman" w:hAnsi="Times New Roman" w:eastAsia="宋体"/>
          <w:sz w:val="32"/>
        </w:rPr>
        <w:t>2.2.2 规划原则</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ind w:firstLine="650" w:firstLineChars="200"/>
        <w:rPr>
          <w:sz w:val="32"/>
          <w:szCs w:val="32"/>
        </w:rPr>
      </w:pPr>
      <w:r>
        <w:rPr>
          <w:sz w:val="32"/>
          <w:szCs w:val="32"/>
        </w:rPr>
        <w:t>1．合理增长，总量控制。以“十三五”期末加油站现状及建设情况为基础，根据“十四五”成品油发展趋势需求，合理确定规划数量，总量控制，保证市场供应需求。</w:t>
      </w:r>
    </w:p>
    <w:p>
      <w:pPr>
        <w:ind w:firstLine="650" w:firstLineChars="200"/>
        <w:rPr>
          <w:sz w:val="32"/>
          <w:szCs w:val="32"/>
        </w:rPr>
      </w:pPr>
      <w:r>
        <w:rPr>
          <w:sz w:val="32"/>
          <w:szCs w:val="32"/>
        </w:rPr>
        <w:t>2．统筹城乡、均衡布局。结合国土空间规划，充分考虑用地、生态等资源、统筹城乡、优化结构、科学布局，完善能源设施功能。</w:t>
      </w:r>
    </w:p>
    <w:p>
      <w:pPr>
        <w:ind w:firstLine="650" w:firstLineChars="200"/>
        <w:rPr>
          <w:sz w:val="32"/>
          <w:szCs w:val="32"/>
        </w:rPr>
      </w:pPr>
      <w:r>
        <w:rPr>
          <w:sz w:val="32"/>
          <w:szCs w:val="32"/>
        </w:rPr>
        <w:t>3．远近结合，留有余地。在十四五基础上，远景规划至2035年，远近结合，既满足近期建设的要求，又为远期发展留有余地。</w:t>
      </w:r>
    </w:p>
    <w:p>
      <w:pPr>
        <w:ind w:firstLine="650" w:firstLineChars="200"/>
        <w:rPr>
          <w:sz w:val="32"/>
          <w:szCs w:val="32"/>
        </w:rPr>
      </w:pPr>
      <w:r>
        <w:rPr>
          <w:sz w:val="32"/>
          <w:szCs w:val="32"/>
        </w:rPr>
        <w:t>4．智慧升级，提升品质。引导企业关注区块链、大数据、物联网等新技术，提升加油站品质和流量，实现加油站清洁化、数字化、信息化升级。</w:t>
      </w:r>
    </w:p>
    <w:p>
      <w:pPr>
        <w:pStyle w:val="4"/>
        <w:spacing w:beforeAutospacing="0" w:afterAutospacing="0"/>
        <w:ind w:firstLine="650" w:firstLineChars="200"/>
        <w:jc w:val="both"/>
        <w:rPr>
          <w:rFonts w:hint="default" w:ascii="Times New Roman" w:hAnsi="Times New Roman"/>
          <w:sz w:val="32"/>
          <w:szCs w:val="32"/>
        </w:rPr>
      </w:pPr>
      <w:bookmarkStart w:id="240" w:name="_Toc96528562"/>
      <w:bookmarkStart w:id="241" w:name="_Toc460434464"/>
      <w:bookmarkStart w:id="242" w:name="_Toc504037000"/>
      <w:bookmarkStart w:id="243" w:name="_Toc87956391"/>
      <w:bookmarkStart w:id="244" w:name="_Toc460434335"/>
      <w:bookmarkStart w:id="245" w:name="_Toc460436039"/>
      <w:bookmarkStart w:id="246" w:name="_Toc504035855"/>
      <w:r>
        <w:rPr>
          <w:rFonts w:hint="default" w:ascii="Times New Roman" w:hAnsi="Times New Roman"/>
          <w:sz w:val="32"/>
          <w:szCs w:val="32"/>
        </w:rPr>
        <w:t>2.3规划的范围与期限</w:t>
      </w:r>
      <w:bookmarkEnd w:id="240"/>
      <w:bookmarkEnd w:id="241"/>
      <w:bookmarkEnd w:id="242"/>
      <w:bookmarkEnd w:id="243"/>
      <w:bookmarkEnd w:id="244"/>
      <w:bookmarkEnd w:id="245"/>
      <w:bookmarkEnd w:id="246"/>
    </w:p>
    <w:p>
      <w:pPr>
        <w:pStyle w:val="5"/>
        <w:spacing w:afterLines="0" w:line="240" w:lineRule="auto"/>
        <w:ind w:firstLine="650" w:firstLineChars="200"/>
        <w:rPr>
          <w:rFonts w:ascii="Times New Roman" w:hAnsi="Times New Roman" w:eastAsia="宋体"/>
          <w:sz w:val="32"/>
        </w:rPr>
      </w:pPr>
      <w:bookmarkStart w:id="247" w:name="_Toc480480740"/>
      <w:bookmarkStart w:id="248" w:name="_Toc479525469"/>
      <w:bookmarkStart w:id="249" w:name="_Toc10587"/>
      <w:bookmarkStart w:id="250" w:name="_Toc20524"/>
      <w:bookmarkStart w:id="251" w:name="_Toc460436282"/>
      <w:bookmarkStart w:id="252" w:name="_Toc504038214"/>
      <w:bookmarkStart w:id="253" w:name="_Toc96528563"/>
      <w:bookmarkStart w:id="254" w:name="_Toc87956392"/>
      <w:bookmarkStart w:id="255" w:name="_Toc492406081"/>
      <w:bookmarkStart w:id="256" w:name="_Toc504037001"/>
      <w:bookmarkStart w:id="257" w:name="_Toc480892157"/>
      <w:bookmarkStart w:id="258" w:name="_Toc504035856"/>
      <w:bookmarkStart w:id="259" w:name="_Toc27384"/>
      <w:bookmarkStart w:id="260" w:name="_Toc460434336"/>
      <w:bookmarkStart w:id="261" w:name="_Toc460434465"/>
      <w:bookmarkStart w:id="262" w:name="_Toc504035977"/>
      <w:bookmarkStart w:id="263" w:name="_Toc504035741"/>
      <w:r>
        <w:rPr>
          <w:rFonts w:ascii="Times New Roman" w:hAnsi="Times New Roman" w:eastAsia="宋体"/>
          <w:sz w:val="32"/>
        </w:rPr>
        <w:t>2.3.1 规划范围</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ind w:firstLine="650" w:firstLineChars="200"/>
        <w:rPr>
          <w:sz w:val="32"/>
          <w:szCs w:val="32"/>
        </w:rPr>
      </w:pPr>
      <w:r>
        <w:rPr>
          <w:sz w:val="32"/>
          <w:szCs w:val="32"/>
        </w:rPr>
        <w:t>与国土空间总体规划一致，为重庆市域范围，面积8.24万平方公里，重点为重庆市中心城区5467平方公里范围。</w:t>
      </w:r>
    </w:p>
    <w:p>
      <w:pPr>
        <w:pStyle w:val="5"/>
        <w:spacing w:afterLines="0" w:line="240" w:lineRule="auto"/>
        <w:ind w:firstLine="650" w:firstLineChars="200"/>
        <w:rPr>
          <w:rFonts w:ascii="Times New Roman" w:hAnsi="Times New Roman" w:eastAsia="宋体"/>
          <w:sz w:val="32"/>
        </w:rPr>
      </w:pPr>
      <w:bookmarkStart w:id="264" w:name="_Toc504035857"/>
      <w:bookmarkStart w:id="265" w:name="_Toc87956393"/>
      <w:bookmarkStart w:id="266" w:name="_Toc504037002"/>
      <w:bookmarkStart w:id="267" w:name="_Toc479525470"/>
      <w:bookmarkStart w:id="268" w:name="_Toc21548"/>
      <w:bookmarkStart w:id="269" w:name="_Toc492406082"/>
      <w:bookmarkStart w:id="270" w:name="_Toc460436283"/>
      <w:bookmarkStart w:id="271" w:name="_Toc460434337"/>
      <w:bookmarkStart w:id="272" w:name="_Toc6979"/>
      <w:bookmarkStart w:id="273" w:name="_Toc480480741"/>
      <w:bookmarkStart w:id="274" w:name="_Toc9939"/>
      <w:bookmarkStart w:id="275" w:name="_Toc480892158"/>
      <w:bookmarkStart w:id="276" w:name="_Toc504035742"/>
      <w:bookmarkStart w:id="277" w:name="_Toc460434466"/>
      <w:bookmarkStart w:id="278" w:name="_Toc504035978"/>
      <w:bookmarkStart w:id="279" w:name="_Toc504038215"/>
      <w:bookmarkStart w:id="280" w:name="_Toc96528564"/>
      <w:r>
        <w:rPr>
          <w:rFonts w:ascii="Times New Roman" w:hAnsi="Times New Roman" w:eastAsia="宋体"/>
          <w:sz w:val="32"/>
        </w:rPr>
        <w:t>2.3.2 规划期限</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ind w:firstLine="650" w:firstLineChars="200"/>
        <w:rPr>
          <w:sz w:val="32"/>
          <w:szCs w:val="32"/>
        </w:rPr>
      </w:pPr>
      <w:bookmarkStart w:id="281" w:name="_Toc460436040"/>
      <w:bookmarkStart w:id="282" w:name="_Toc460434467"/>
      <w:bookmarkStart w:id="283" w:name="_Toc504037003"/>
      <w:bookmarkStart w:id="284" w:name="_Toc504035858"/>
      <w:bookmarkStart w:id="285" w:name="_Toc460434338"/>
      <w:r>
        <w:rPr>
          <w:sz w:val="32"/>
          <w:szCs w:val="32"/>
        </w:rPr>
        <w:t>现状基准年2020年，近期2025年，远期展望至2035年，与国土空间规划保持一致。</w:t>
      </w:r>
      <w:bookmarkEnd w:id="281"/>
      <w:bookmarkEnd w:id="282"/>
      <w:bookmarkEnd w:id="283"/>
      <w:bookmarkEnd w:id="284"/>
      <w:bookmarkEnd w:id="285"/>
    </w:p>
    <w:p>
      <w:pPr>
        <w:pStyle w:val="16"/>
        <w:spacing w:line="240" w:lineRule="auto"/>
        <w:jc w:val="center"/>
        <w:rPr>
          <w:rFonts w:ascii="Times New Roman" w:hAnsi="Times New Roman" w:eastAsia="宋体"/>
          <w:sz w:val="32"/>
        </w:rPr>
      </w:pPr>
      <w:bookmarkStart w:id="286" w:name="_Toc444796399"/>
      <w:bookmarkStart w:id="287" w:name="_Toc460434339"/>
      <w:bookmarkStart w:id="288" w:name="_Toc504037004"/>
      <w:bookmarkStart w:id="289" w:name="_Toc504035743"/>
      <w:bookmarkStart w:id="290" w:name="_Toc96528565"/>
      <w:bookmarkStart w:id="291" w:name="_Toc504035859"/>
      <w:bookmarkStart w:id="292" w:name="_Toc460434468"/>
      <w:bookmarkStart w:id="293" w:name="_Toc87956394"/>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sz w:val="32"/>
        </w:rPr>
      </w:pPr>
    </w:p>
    <w:p>
      <w:pPr>
        <w:pStyle w:val="16"/>
        <w:spacing w:line="240" w:lineRule="auto"/>
        <w:jc w:val="center"/>
        <w:rPr>
          <w:rFonts w:ascii="Times New Roman" w:hAnsi="Times New Roman" w:eastAsia="宋体"/>
          <w:b/>
          <w:bCs w:val="0"/>
          <w:sz w:val="32"/>
        </w:rPr>
      </w:pPr>
      <w:r>
        <w:rPr>
          <w:rFonts w:ascii="Times New Roman" w:hAnsi="Times New Roman" w:eastAsia="宋体"/>
          <w:b/>
          <w:bCs w:val="0"/>
          <w:sz w:val="32"/>
        </w:rPr>
        <w:t>第三章 成品油</w:t>
      </w:r>
      <w:bookmarkEnd w:id="286"/>
      <w:r>
        <w:rPr>
          <w:rFonts w:ascii="Times New Roman" w:hAnsi="Times New Roman" w:eastAsia="宋体"/>
          <w:b/>
          <w:bCs w:val="0"/>
          <w:sz w:val="32"/>
        </w:rPr>
        <w:t>零售加油站需求预测</w:t>
      </w:r>
      <w:bookmarkEnd w:id="287"/>
      <w:bookmarkEnd w:id="288"/>
      <w:bookmarkEnd w:id="289"/>
      <w:bookmarkEnd w:id="290"/>
      <w:bookmarkEnd w:id="291"/>
      <w:bookmarkEnd w:id="292"/>
      <w:bookmarkEnd w:id="293"/>
    </w:p>
    <w:p>
      <w:pPr>
        <w:pStyle w:val="4"/>
        <w:spacing w:beforeAutospacing="0" w:afterAutospacing="0"/>
        <w:ind w:firstLine="650" w:firstLineChars="200"/>
        <w:jc w:val="both"/>
        <w:rPr>
          <w:rFonts w:hint="default" w:ascii="Times New Roman" w:hAnsi="Times New Roman"/>
          <w:sz w:val="32"/>
          <w:szCs w:val="32"/>
        </w:rPr>
      </w:pPr>
      <w:bookmarkStart w:id="294" w:name="_Toc460434469"/>
      <w:bookmarkStart w:id="295" w:name="_Toc460434340"/>
      <w:bookmarkStart w:id="296" w:name="_Toc87956395"/>
      <w:bookmarkStart w:id="297" w:name="_Toc96528566"/>
      <w:bookmarkStart w:id="298" w:name="_Toc504037005"/>
      <w:bookmarkStart w:id="299" w:name="_Toc504035860"/>
      <w:bookmarkStart w:id="300" w:name="_Toc460436041"/>
      <w:r>
        <w:rPr>
          <w:rFonts w:hint="default" w:ascii="Times New Roman" w:hAnsi="Times New Roman"/>
          <w:sz w:val="32"/>
          <w:szCs w:val="32"/>
        </w:rPr>
        <w:t>3.1经济社会发展趋势</w:t>
      </w:r>
      <w:bookmarkEnd w:id="294"/>
      <w:bookmarkEnd w:id="295"/>
      <w:bookmarkEnd w:id="296"/>
      <w:bookmarkEnd w:id="297"/>
      <w:bookmarkEnd w:id="298"/>
      <w:bookmarkEnd w:id="299"/>
      <w:bookmarkEnd w:id="300"/>
    </w:p>
    <w:p>
      <w:pPr>
        <w:ind w:firstLine="650" w:firstLineChars="200"/>
        <w:rPr>
          <w:sz w:val="32"/>
          <w:szCs w:val="32"/>
        </w:rPr>
      </w:pPr>
      <w:r>
        <w:rPr>
          <w:sz w:val="32"/>
          <w:szCs w:val="32"/>
        </w:rPr>
        <w:t>以习近平同志为核心的党中央十分关心、高度重视重庆发展，给予有力指导和重大支持。党中央作出构建以国内大循环为主体、国内国际双循环相互促进的新发展格局的重大决策，共建“一带一路”、长江经济带发展、西部大开发等重大战略深入实施，供给侧结构性改革稳步推进，扩大内需战略深入实施，为重庆高质量发展赋予了全新优势、创造了更为有利的条件。</w:t>
      </w:r>
    </w:p>
    <w:p>
      <w:pPr>
        <w:ind w:firstLine="650" w:firstLineChars="200"/>
        <w:rPr>
          <w:sz w:val="32"/>
          <w:szCs w:val="32"/>
        </w:rPr>
      </w:pPr>
      <w:r>
        <w:rPr>
          <w:sz w:val="32"/>
          <w:szCs w:val="32"/>
        </w:rPr>
        <w:t>预计“十四五”期间，成渝地区双城经济圈建设将加快推进，使重庆战略地位凸显、战略空间拓展、战略潜能释放，带来诸多政策利好、投资利好、项目利好，极大提振市场预期、社会预期。国家为应对疫情冲击、恢复经济发展出台一系列支持政策，有助于更好地保护和激发各类市场主体活力，巩固经济回升向好势头。新一轮科技革命和产业变革深入发展，有助于推动数字经济和实体经济深度融合，更好地为经济赋能、为生活添彩。新一轮深层次改革和高水平开放纵深推进，有助于我市进一步打造国际合作和竞争新优势。“一区两群”协调发展机制不断健全，有助于各片区发挥优势、彰显特色、协同发展，充分释放全市高质量发展巨大潜能。</w:t>
      </w:r>
    </w:p>
    <w:p>
      <w:pPr>
        <w:rPr>
          <w:sz w:val="32"/>
          <w:szCs w:val="32"/>
        </w:rPr>
      </w:pPr>
      <w:r>
        <w:rPr>
          <w:sz w:val="32"/>
          <w:szCs w:val="32"/>
        </w:rPr>
        <w:drawing>
          <wp:inline distT="0" distB="0" distL="114300" distR="114300">
            <wp:extent cx="2804795" cy="2280920"/>
            <wp:effectExtent l="0" t="0" r="14605" b="0"/>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11">
                      <a:clrChange>
                        <a:clrFrom>
                          <a:srgbClr val="FFFFFF"/>
                        </a:clrFrom>
                        <a:clrTo>
                          <a:srgbClr val="FFFFFF">
                            <a:alpha val="0"/>
                          </a:srgbClr>
                        </a:clrTo>
                      </a:clrChange>
                    </a:blip>
                    <a:srcRect r="3773"/>
                    <a:stretch>
                      <a:fillRect/>
                    </a:stretch>
                  </pic:blipFill>
                  <pic:spPr>
                    <a:xfrm>
                      <a:off x="0" y="0"/>
                      <a:ext cx="2804795" cy="2280920"/>
                    </a:xfrm>
                    <a:prstGeom prst="rect">
                      <a:avLst/>
                    </a:prstGeom>
                    <a:noFill/>
                    <a:ln w="9525">
                      <a:noFill/>
                    </a:ln>
                  </pic:spPr>
                </pic:pic>
              </a:graphicData>
            </a:graphic>
          </wp:inline>
        </w:drawing>
      </w:r>
      <w:r>
        <w:rPr>
          <w:sz w:val="32"/>
          <w:szCs w:val="32"/>
        </w:rPr>
        <w:drawing>
          <wp:inline distT="0" distB="0" distL="114300" distR="114300">
            <wp:extent cx="2360930" cy="2350770"/>
            <wp:effectExtent l="0" t="0" r="0" b="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2360930" cy="2350770"/>
                    </a:xfrm>
                    <a:prstGeom prst="rect">
                      <a:avLst/>
                    </a:prstGeom>
                    <a:noFill/>
                    <a:ln w="9525">
                      <a:noFill/>
                    </a:ln>
                  </pic:spPr>
                </pic:pic>
              </a:graphicData>
            </a:graphic>
          </wp:inline>
        </w:drawing>
      </w:r>
    </w:p>
    <w:p>
      <w:pPr>
        <w:jc w:val="center"/>
        <w:rPr>
          <w:sz w:val="28"/>
          <w:szCs w:val="28"/>
        </w:rPr>
      </w:pPr>
      <w:bookmarkStart w:id="301" w:name="_Toc87956396"/>
      <w:r>
        <w:rPr>
          <w:sz w:val="28"/>
          <w:szCs w:val="28"/>
        </w:rPr>
        <w:t>图3-1 成渝双城经济圈规划图    图3-2重庆市“一区两群”规划图</w:t>
      </w:r>
    </w:p>
    <w:p>
      <w:pPr>
        <w:pStyle w:val="4"/>
        <w:spacing w:beforeAutospacing="0" w:afterAutospacing="0"/>
        <w:jc w:val="both"/>
        <w:rPr>
          <w:rFonts w:hint="default" w:ascii="Times New Roman" w:hAnsi="Times New Roman"/>
          <w:sz w:val="32"/>
          <w:szCs w:val="32"/>
        </w:rPr>
      </w:pPr>
      <w:bookmarkStart w:id="302" w:name="_Toc96528567"/>
      <w:r>
        <w:rPr>
          <w:rFonts w:hint="default" w:ascii="Times New Roman" w:hAnsi="Times New Roman"/>
          <w:sz w:val="32"/>
          <w:szCs w:val="32"/>
        </w:rPr>
        <w:t>　　3.2道路交通发展规划</w:t>
      </w:r>
      <w:bookmarkEnd w:id="301"/>
      <w:bookmarkEnd w:id="302"/>
    </w:p>
    <w:p>
      <w:pPr>
        <w:ind w:firstLine="650" w:firstLineChars="200"/>
        <w:rPr>
          <w:sz w:val="32"/>
          <w:szCs w:val="32"/>
        </w:rPr>
      </w:pPr>
      <w:r>
        <w:rPr>
          <w:sz w:val="32"/>
          <w:szCs w:val="32"/>
        </w:rPr>
        <w:t>根据《重庆市综合交通体系规划（2019-2035 年）》，我市将进一步强化国家公路枢纽地位，提高重庆与周边地区公路网的互联互通水平，畅通对外大通道。构建“一圈两群”协同发展的高速公路网，“一圈”加密高速公路，升级改造普通国省道，降低物流成本，“两群”重点发展旅游公路。推进“四好农村路”建设，提高农村公路密度和技术标准，促进城乡融合发展。</w:t>
      </w:r>
    </w:p>
    <w:p>
      <w:pPr>
        <w:ind w:firstLine="650" w:firstLineChars="200"/>
        <w:rPr>
          <w:sz w:val="32"/>
          <w:szCs w:val="32"/>
        </w:rPr>
      </w:pPr>
      <w:r>
        <w:rPr>
          <w:sz w:val="32"/>
          <w:szCs w:val="32"/>
        </w:rPr>
        <w:t>（1）高速公路。规划新增渝安（岳）、渝赤（水）、渝泸复线、沿江复线、主城至武隆、江北至巴南、北碚至合川、合川至武胜、璧山至合川、大足至永川、永川至璧山、永川至江津、长寿至邻水、綦江至习水、垫江至大竹、忠县至石柱、开州至梁平、开州至宣汉、云阳至利川、巫溪至开州、城口至宣汉、大足东环等高速公路，形成“三环十八射多联线”高速公路网，里程达到 6200公里以上，高速公路网密度 7.5 公里/百平方公里，省际出口通道达到 45 个。实现中心城区与各个区县之间 4 小时通达，与邻近省会城市之间 8 小时通达。规划预留荣昌至内江、梁平至忠县、城口至万源、巫山至官渡、黔江至务 川、黔江至利川、酉阳至永顺、秀山至龙山等高速公路。</w:t>
      </w:r>
    </w:p>
    <w:p>
      <w:pPr>
        <w:ind w:firstLine="650" w:firstLineChars="200"/>
        <w:rPr>
          <w:sz w:val="32"/>
          <w:szCs w:val="32"/>
        </w:rPr>
      </w:pPr>
      <w:r>
        <w:rPr>
          <w:sz w:val="32"/>
          <w:szCs w:val="32"/>
        </w:rPr>
        <w:t>（2）普通国省道。加快普通国省道升级改造，全面提升高等级公路比重，实现普通国道二级及以上公路比例达到 95%以上，普通省道三级及以上公路比例达到 90% 以上。规划普通国省道总里程达 1.6 万公里以上、乡镇覆盖率达 95%以上、 省际出口达 90 个以上。规划加密中心城区都市圈高等级公路网，通过局部改 造、优化衔接等方式，构建骨架国省干道网，车道数双向 2-4 车道，设计速 度 40-60 公里/小时。渝东北、渝东南地区重点发展旅游公路（三级及以上， 旅游客车通行），有效覆盖重点镇、历史文化名镇、工业园区和 3A 级以上旅游景区。</w:t>
      </w:r>
    </w:p>
    <w:p>
      <w:pPr>
        <w:ind w:firstLine="650" w:firstLineChars="200"/>
        <w:rPr>
          <w:sz w:val="32"/>
          <w:szCs w:val="32"/>
        </w:rPr>
      </w:pPr>
      <w:r>
        <w:rPr>
          <w:sz w:val="32"/>
          <w:szCs w:val="32"/>
        </w:rPr>
        <w:t>（3）农村公路。按照“建好、管好、护好、运营好”的目标，推进“四好农村路”建设，提高农村公路密度和技术标准，实现村民小组通畅率达到 95%以上，全面提升农村公路服务能力和品质。推动城市公共交通线路向城市周边延伸，大力发展镇村公交，促进城乡融合发展。</w:t>
      </w:r>
    </w:p>
    <w:p>
      <w:pPr>
        <w:jc w:val="center"/>
        <w:rPr>
          <w:sz w:val="32"/>
          <w:szCs w:val="32"/>
        </w:rPr>
      </w:pPr>
      <w:r>
        <w:rPr>
          <w:sz w:val="32"/>
          <w:szCs w:val="32"/>
        </w:rPr>
        <w:drawing>
          <wp:inline distT="0" distB="0" distL="114300" distR="114300">
            <wp:extent cx="4815205" cy="3701415"/>
            <wp:effectExtent l="0" t="0" r="4445" b="13335"/>
            <wp:docPr id="22" name="图片 6" descr="03-市域高速公路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03-市域高速公路规划图"/>
                    <pic:cNvPicPr>
                      <a:picLocks noChangeAspect="1"/>
                    </pic:cNvPicPr>
                  </pic:nvPicPr>
                  <pic:blipFill>
                    <a:blip r:embed="rId13"/>
                    <a:srcRect l="6393" t="2576" r="6126" b="3142"/>
                    <a:stretch>
                      <a:fillRect/>
                    </a:stretch>
                  </pic:blipFill>
                  <pic:spPr>
                    <a:xfrm>
                      <a:off x="0" y="0"/>
                      <a:ext cx="4815205" cy="3701415"/>
                    </a:xfrm>
                    <a:prstGeom prst="rect">
                      <a:avLst/>
                    </a:prstGeom>
                    <a:noFill/>
                    <a:ln w="9525">
                      <a:noFill/>
                    </a:ln>
                  </pic:spPr>
                </pic:pic>
              </a:graphicData>
            </a:graphic>
          </wp:inline>
        </w:drawing>
      </w:r>
    </w:p>
    <w:p>
      <w:pPr>
        <w:jc w:val="center"/>
        <w:rPr>
          <w:sz w:val="32"/>
          <w:szCs w:val="32"/>
        </w:rPr>
      </w:pPr>
      <w:r>
        <w:rPr>
          <w:sz w:val="32"/>
          <w:szCs w:val="32"/>
        </w:rPr>
        <w:t>图3-3 重庆市综合交通体系规划图</w:t>
      </w:r>
    </w:p>
    <w:p>
      <w:pPr>
        <w:pStyle w:val="4"/>
        <w:spacing w:beforeAutospacing="0" w:afterAutospacing="0"/>
        <w:jc w:val="both"/>
        <w:rPr>
          <w:rFonts w:hint="default" w:ascii="Times New Roman" w:hAnsi="Times New Roman"/>
          <w:sz w:val="32"/>
          <w:szCs w:val="32"/>
        </w:rPr>
      </w:pPr>
      <w:bookmarkStart w:id="303" w:name="_Toc96528568"/>
      <w:bookmarkStart w:id="304" w:name="_Toc87956397"/>
      <w:r>
        <w:rPr>
          <w:rFonts w:hint="default" w:ascii="Times New Roman" w:hAnsi="Times New Roman"/>
          <w:sz w:val="32"/>
          <w:szCs w:val="32"/>
        </w:rPr>
        <w:t>　　3.3能源消费发展趋势分析</w:t>
      </w:r>
      <w:bookmarkEnd w:id="303"/>
      <w:bookmarkEnd w:id="304"/>
    </w:p>
    <w:p>
      <w:pPr>
        <w:pStyle w:val="5"/>
        <w:spacing w:afterLines="0" w:line="240" w:lineRule="auto"/>
        <w:rPr>
          <w:rFonts w:ascii="Times New Roman" w:hAnsi="Times New Roman" w:eastAsia="宋体"/>
          <w:sz w:val="32"/>
        </w:rPr>
      </w:pPr>
      <w:bookmarkStart w:id="305" w:name="_Toc504038147"/>
      <w:bookmarkStart w:id="306" w:name="_Toc504035789"/>
      <w:bookmarkStart w:id="307" w:name="_Toc492406016"/>
      <w:bookmarkStart w:id="308" w:name="_Toc504035696"/>
      <w:bookmarkStart w:id="309" w:name="_Toc463698410"/>
      <w:bookmarkStart w:id="310" w:name="_Toc460436221"/>
      <w:bookmarkStart w:id="311" w:name="_Toc460434273"/>
      <w:bookmarkStart w:id="312" w:name="_Toc504036936"/>
      <w:bookmarkStart w:id="313" w:name="_Toc460434404"/>
      <w:bookmarkStart w:id="314" w:name="_Toc16434"/>
      <w:bookmarkStart w:id="315" w:name="_Toc480480678"/>
      <w:bookmarkStart w:id="316" w:name="_Toc23339"/>
      <w:bookmarkStart w:id="317" w:name="_Toc480892092"/>
      <w:bookmarkStart w:id="318" w:name="_Toc504035910"/>
      <w:bookmarkStart w:id="319" w:name="_Toc479525407"/>
      <w:bookmarkStart w:id="320" w:name="_Toc15880"/>
      <w:bookmarkStart w:id="321" w:name="_Toc96528569"/>
      <w:bookmarkStart w:id="322" w:name="_Toc87956398"/>
      <w:r>
        <w:rPr>
          <w:rFonts w:ascii="Times New Roman" w:hAnsi="Times New Roman" w:eastAsia="宋体"/>
          <w:sz w:val="32"/>
        </w:rPr>
        <w:t xml:space="preserve">　　3.3.1 </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Fonts w:ascii="Times New Roman" w:hAnsi="Times New Roman" w:eastAsia="宋体"/>
          <w:sz w:val="32"/>
        </w:rPr>
        <w:t>成品油市场将持续稳步增长</w:t>
      </w:r>
      <w:bookmarkEnd w:id="321"/>
      <w:bookmarkEnd w:id="322"/>
    </w:p>
    <w:p>
      <w:pPr>
        <w:ind w:firstLine="650" w:firstLineChars="200"/>
        <w:rPr>
          <w:sz w:val="32"/>
          <w:szCs w:val="32"/>
        </w:rPr>
      </w:pPr>
      <w:r>
        <w:rPr>
          <w:sz w:val="32"/>
          <w:szCs w:val="32"/>
        </w:rPr>
        <w:t>受疫情影响，2020年重庆市经济增速降至3.9%，能源包括成品油消费呈现负增长，但2021年经济增速开始弹回。“十四五”期间，随着重庆中心城区都市区、西部高新区及成渝双城经济圈的快速发展，重庆市地区生产总值、人口规模、机动车保有量将保持较快速度增长</w:t>
      </w:r>
      <w:bookmarkStart w:id="323" w:name="_Toc492406017"/>
      <w:bookmarkStart w:id="324" w:name="_Toc504035697"/>
      <w:bookmarkStart w:id="325" w:name="_Toc460434274"/>
      <w:bookmarkStart w:id="326" w:name="_Toc460434405"/>
      <w:bookmarkStart w:id="327" w:name="_Toc480892093"/>
      <w:bookmarkStart w:id="328" w:name="_Toc480480679"/>
      <w:bookmarkStart w:id="329" w:name="_Toc479525408"/>
      <w:bookmarkStart w:id="330" w:name="_Toc9536"/>
      <w:bookmarkStart w:id="331" w:name="_Toc504038148"/>
      <w:bookmarkStart w:id="332" w:name="_Toc504036937"/>
      <w:bookmarkStart w:id="333" w:name="_Toc504035911"/>
      <w:bookmarkStart w:id="334" w:name="_Toc10973"/>
      <w:bookmarkStart w:id="335" w:name="_Toc463698411"/>
      <w:bookmarkStart w:id="336" w:name="_Toc504035790"/>
      <w:bookmarkStart w:id="337" w:name="_Toc7527"/>
      <w:bookmarkStart w:id="338" w:name="_Toc460436222"/>
      <w:r>
        <w:rPr>
          <w:sz w:val="32"/>
          <w:szCs w:val="32"/>
        </w:rPr>
        <w:t>，将持续给成品油消费带来新的历史机遇，预计重庆市成品油市场将持续稳步增长。</w:t>
      </w:r>
    </w:p>
    <w:p>
      <w:pPr>
        <w:pStyle w:val="5"/>
        <w:spacing w:afterLines="0" w:line="240" w:lineRule="auto"/>
        <w:rPr>
          <w:rFonts w:ascii="Times New Roman" w:hAnsi="Times New Roman" w:eastAsia="宋体"/>
          <w:sz w:val="32"/>
        </w:rPr>
      </w:pPr>
      <w:bookmarkStart w:id="339" w:name="_Toc87956399"/>
      <w:bookmarkStart w:id="340" w:name="_Toc96528570"/>
      <w:r>
        <w:rPr>
          <w:rFonts w:ascii="Times New Roman" w:hAnsi="Times New Roman" w:eastAsia="宋体"/>
          <w:sz w:val="32"/>
        </w:rPr>
        <w:t>3.3.2能源消费结构不断优化调整</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ind w:firstLine="650" w:firstLineChars="200"/>
        <w:rPr>
          <w:sz w:val="32"/>
          <w:szCs w:val="32"/>
        </w:rPr>
      </w:pPr>
      <w:r>
        <w:rPr>
          <w:sz w:val="32"/>
          <w:szCs w:val="32"/>
        </w:rPr>
        <w:t>在国家双碳目标下，“十四五”期间将是传统能源技术、传统能源产业向新兴的能源技术、产业转变的时期，能源消费结构不断优化调整，向更高效、清洁、可持续方向转型。国家政府已经出台了一系列政策措施，发展新能源、提高能效；节能型汽车和新能源汽车将加快发展，根据国务院发布的《新能源汽车产业发展规划（2021—2035年）》，十四五末期我国新能源汽车新车销售量达到汽车新车销售总量的20%左右；清洁替代能源发展较快，乙醇汽油、生物柴油等产品优势逐步发挥，在能源市场所占份额也不断增大。预计“十四五”期间，能源消费结构优化将会对成品油消费带来一定制约，成品油消费需求增长更趋平稳。</w:t>
      </w:r>
    </w:p>
    <w:p>
      <w:pPr>
        <w:pStyle w:val="5"/>
        <w:spacing w:afterLines="0" w:line="240" w:lineRule="auto"/>
        <w:rPr>
          <w:rFonts w:ascii="Times New Roman" w:hAnsi="Times New Roman" w:eastAsia="宋体"/>
          <w:sz w:val="32"/>
        </w:rPr>
      </w:pPr>
      <w:bookmarkStart w:id="341" w:name="_Toc87956400"/>
      <w:bookmarkStart w:id="342" w:name="_Toc96528571"/>
      <w:r>
        <w:rPr>
          <w:rFonts w:ascii="Times New Roman" w:hAnsi="Times New Roman" w:eastAsia="宋体"/>
          <w:sz w:val="32"/>
        </w:rPr>
        <w:t>　　3.3.3机动车能源利用形式仍将以汽柴油为主</w:t>
      </w:r>
      <w:bookmarkEnd w:id="341"/>
      <w:bookmarkEnd w:id="342"/>
    </w:p>
    <w:p>
      <w:pPr>
        <w:ind w:firstLine="650" w:firstLineChars="200"/>
        <w:rPr>
          <w:sz w:val="32"/>
          <w:szCs w:val="32"/>
        </w:rPr>
      </w:pPr>
      <w:r>
        <w:rPr>
          <w:sz w:val="32"/>
          <w:szCs w:val="32"/>
        </w:rPr>
        <w:t>一般汽车碳排放只占全社会碳排放7.5%，“十四五”期间的减碳措施更多在于继续淘汰高耗能低产出落后产能、严格控制钢铁、建材、化工等主要耗煤行业耗煤量，合理控制煤电发展规模和电力行业耗煤量等方面。同时，虽然新能源汽车市场占比正在快速提升，但目前新能源机动车仍处于规模有限的推广阶段，特别是加氢汽车还在试点，新能源车的产品安全可靠性、低温实用性、使用便利性仍然有待提升。预计“十四五”期间，机动车能源利用形式仍将以汽柴油为主，零售加油站仍将是最主要的机动车动力燃料供给设施，成品油零售加油站需求量仍然较大，但需求增长更趋平稳。</w:t>
      </w:r>
    </w:p>
    <w:p>
      <w:pPr>
        <w:pStyle w:val="4"/>
        <w:spacing w:beforeAutospacing="0" w:afterAutospacing="0"/>
        <w:jc w:val="both"/>
        <w:rPr>
          <w:rFonts w:hint="default" w:ascii="Times New Roman" w:hAnsi="Times New Roman"/>
          <w:sz w:val="32"/>
          <w:szCs w:val="32"/>
        </w:rPr>
      </w:pPr>
      <w:bookmarkStart w:id="343" w:name="_Toc87956402"/>
      <w:bookmarkStart w:id="344" w:name="_Toc96528572"/>
      <w:bookmarkStart w:id="345" w:name="_Toc504037014"/>
      <w:bookmarkStart w:id="346" w:name="_Toc460434484"/>
      <w:bookmarkStart w:id="347" w:name="_Toc460436044"/>
      <w:bookmarkStart w:id="348" w:name="_Toc504035869"/>
      <w:bookmarkStart w:id="349" w:name="_Toc460434355"/>
      <w:bookmarkStart w:id="350" w:name="_Toc444796400"/>
      <w:r>
        <w:rPr>
          <w:rFonts w:hint="default" w:ascii="Times New Roman" w:hAnsi="Times New Roman"/>
          <w:sz w:val="32"/>
          <w:szCs w:val="32"/>
        </w:rPr>
        <w:t>　　3.</w:t>
      </w:r>
      <w:bookmarkEnd w:id="343"/>
      <w:r>
        <w:rPr>
          <w:rFonts w:hint="default" w:ascii="Times New Roman" w:hAnsi="Times New Roman"/>
          <w:sz w:val="32"/>
          <w:szCs w:val="32"/>
        </w:rPr>
        <w:t>4成品油零售加油站总量预测</w:t>
      </w:r>
      <w:bookmarkEnd w:id="344"/>
    </w:p>
    <w:p>
      <w:pPr>
        <w:ind w:firstLine="650" w:firstLineChars="200"/>
        <w:rPr>
          <w:sz w:val="32"/>
          <w:szCs w:val="32"/>
        </w:rPr>
      </w:pPr>
      <w:r>
        <w:rPr>
          <w:sz w:val="32"/>
          <w:szCs w:val="32"/>
        </w:rPr>
        <w:t>目前成品油零售经营资格审批已下放至地市级政府，按照市商委相关要求，中心城区以外的各区县均编制了各区县成品油零售加油站 “十四五”发展规划。因此，本次重点预测中心城区成品油零售加油站。</w:t>
      </w:r>
    </w:p>
    <w:p>
      <w:pPr>
        <w:pStyle w:val="5"/>
        <w:spacing w:afterLines="0" w:line="240" w:lineRule="auto"/>
        <w:rPr>
          <w:rFonts w:ascii="Times New Roman" w:hAnsi="Times New Roman" w:eastAsia="宋体"/>
          <w:sz w:val="32"/>
        </w:rPr>
      </w:pPr>
      <w:bookmarkStart w:id="351" w:name="_Toc96528573"/>
      <w:r>
        <w:rPr>
          <w:rFonts w:ascii="Times New Roman" w:hAnsi="Times New Roman" w:eastAsia="宋体"/>
          <w:sz w:val="32"/>
        </w:rPr>
        <w:t>　　3.4.1机动车保有量推算</w:t>
      </w:r>
      <w:bookmarkEnd w:id="351"/>
    </w:p>
    <w:p>
      <w:pPr>
        <w:ind w:firstLine="650" w:firstLineChars="200"/>
        <w:rPr>
          <w:sz w:val="32"/>
          <w:szCs w:val="32"/>
        </w:rPr>
      </w:pPr>
      <w:r>
        <w:rPr>
          <w:sz w:val="32"/>
          <w:szCs w:val="32"/>
        </w:rPr>
        <w:t>随着国民经济的高速发展、城乡居民生活水平的日益提高，人们出行的需求发生前所未有的快速增长，城市机动车保有量迅速增加。近十五年，重庆市中心城区机动车拥有量从2005年的30.2万辆增长至2020年的209.1万辆，增长率先上升后下降，现基本稳定在9%-10%，且以客车增长为主。全市机动车保有量已达763.8万辆。</w:t>
      </w:r>
    </w:p>
    <w:p>
      <w:pPr>
        <w:ind w:firstLine="650" w:firstLineChars="200"/>
        <w:rPr>
          <w:sz w:val="32"/>
          <w:szCs w:val="32"/>
        </w:rPr>
      </w:pPr>
      <w:r>
        <w:rPr>
          <w:sz w:val="32"/>
          <w:szCs w:val="32"/>
        </w:rPr>
        <w:t>未来重庆市将继续保持规模扩张和质量提升并重的阶段。2020年至2025年机动车保有量增长率将放缓，平均增长率按7%测算，2025年至2035年机动车保有量增长率将进一步放缓，平均增长率按5.5%测算，预计2035年中心城区机动车保有量约500.9万辆。</w:t>
      </w:r>
    </w:p>
    <w:p>
      <w:pPr>
        <w:pStyle w:val="5"/>
        <w:spacing w:afterLines="0" w:line="240" w:lineRule="auto"/>
        <w:rPr>
          <w:rFonts w:ascii="Times New Roman" w:hAnsi="Times New Roman" w:eastAsia="宋体"/>
          <w:sz w:val="32"/>
        </w:rPr>
      </w:pPr>
      <w:bookmarkStart w:id="352" w:name="_Toc96528574"/>
      <w:r>
        <w:rPr>
          <w:rFonts w:ascii="Times New Roman" w:hAnsi="Times New Roman" w:eastAsia="宋体"/>
          <w:sz w:val="32"/>
        </w:rPr>
        <w:t>3.4.2机动车燃油需求总量</w:t>
      </w:r>
      <w:bookmarkEnd w:id="352"/>
    </w:p>
    <w:p>
      <w:pPr>
        <w:ind w:firstLine="650" w:firstLineChars="200"/>
        <w:rPr>
          <w:sz w:val="32"/>
          <w:szCs w:val="32"/>
        </w:rPr>
      </w:pPr>
      <w:r>
        <w:rPr>
          <w:sz w:val="32"/>
          <w:szCs w:val="32"/>
        </w:rPr>
        <w:t>根据机动车保有量推算机动车燃油需求总量。机动车燃油需求总量由每车平均100公里耗油量、机动车保有量、每车平均日行程、车辆出行率、新能源车折减系数等因素决定的，可通过下式计算：</w:t>
      </w:r>
    </w:p>
    <w:p>
      <w:pPr>
        <w:ind w:firstLine="650" w:firstLineChars="200"/>
        <w:rPr>
          <w:sz w:val="32"/>
          <w:szCs w:val="32"/>
        </w:rPr>
      </w:pPr>
      <w:r>
        <w:rPr>
          <w:sz w:val="32"/>
          <w:szCs w:val="32"/>
        </w:rPr>
        <w:t xml:space="preserve"> </w:t>
      </w:r>
      <w:r>
        <w:rPr>
          <w:sz w:val="32"/>
          <w:szCs w:val="32"/>
        </w:rPr>
        <w:object>
          <v:shape id="_x0000_i1025" o:spt="75" type="#_x0000_t75" style="height:13.1pt;width:144.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p>
      <w:pPr>
        <w:ind w:firstLine="650" w:firstLineChars="200"/>
        <w:rPr>
          <w:sz w:val="32"/>
          <w:szCs w:val="32"/>
        </w:rPr>
      </w:pPr>
      <w:r>
        <w:rPr>
          <w:sz w:val="32"/>
          <w:szCs w:val="32"/>
        </w:rPr>
        <w:t>式中，W，燃油日需求总量（升）；</w:t>
      </w:r>
    </w:p>
    <w:p>
      <w:pPr>
        <w:ind w:firstLine="650" w:firstLineChars="200"/>
        <w:rPr>
          <w:sz w:val="32"/>
          <w:szCs w:val="32"/>
        </w:rPr>
      </w:pPr>
      <w:r>
        <w:rPr>
          <w:sz w:val="32"/>
          <w:szCs w:val="32"/>
        </w:rPr>
        <w:t xml:space="preserve">U，每车平均100公里耗油量（升）； </w:t>
      </w:r>
    </w:p>
    <w:p>
      <w:pPr>
        <w:ind w:firstLine="650" w:firstLineChars="200"/>
        <w:rPr>
          <w:sz w:val="32"/>
          <w:szCs w:val="32"/>
        </w:rPr>
      </w:pPr>
      <w:r>
        <w:rPr>
          <w:sz w:val="32"/>
          <w:szCs w:val="32"/>
        </w:rPr>
        <w:t>L，机动车保有量（辆）；</w:t>
      </w:r>
    </w:p>
    <w:p>
      <w:pPr>
        <w:ind w:firstLine="650" w:firstLineChars="200"/>
        <w:rPr>
          <w:sz w:val="32"/>
          <w:szCs w:val="32"/>
        </w:rPr>
      </w:pPr>
      <w:r>
        <w:rPr>
          <w:sz w:val="32"/>
          <w:szCs w:val="32"/>
        </w:rPr>
        <w:t>N，每车平均日行程（公里 ） ；</w:t>
      </w:r>
    </w:p>
    <w:p>
      <w:pPr>
        <w:ind w:firstLine="650" w:firstLineChars="200"/>
        <w:rPr>
          <w:sz w:val="32"/>
          <w:szCs w:val="32"/>
        </w:rPr>
      </w:pPr>
      <w:r>
        <w:rPr>
          <w:sz w:val="32"/>
          <w:szCs w:val="32"/>
        </w:rPr>
        <w:t>A，车辆平均出行率（%）；</w:t>
      </w:r>
      <w:r>
        <w:rPr>
          <w:sz w:val="32"/>
          <w:szCs w:val="32"/>
        </w:rPr>
        <w:tab/>
      </w:r>
    </w:p>
    <w:p>
      <w:pPr>
        <w:ind w:firstLine="650" w:firstLineChars="200"/>
        <w:rPr>
          <w:sz w:val="32"/>
          <w:szCs w:val="32"/>
        </w:rPr>
      </w:pPr>
      <w:r>
        <w:rPr>
          <w:sz w:val="32"/>
          <w:szCs w:val="32"/>
        </w:rPr>
        <w:t>B，新能源车折减系数；</w:t>
      </w:r>
    </w:p>
    <w:p>
      <w:pPr>
        <w:ind w:firstLine="650" w:firstLineChars="200"/>
        <w:rPr>
          <w:sz w:val="32"/>
          <w:szCs w:val="32"/>
        </w:rPr>
      </w:pPr>
      <w:r>
        <w:rPr>
          <w:sz w:val="32"/>
          <w:szCs w:val="32"/>
        </w:rPr>
        <w:t>依据上述计算模型及数据， 2035年中心城区机动车燃油年需求总量为297万吨。</w:t>
      </w:r>
    </w:p>
    <w:p>
      <w:pPr>
        <w:jc w:val="center"/>
        <w:rPr>
          <w:sz w:val="32"/>
          <w:szCs w:val="32"/>
        </w:rPr>
      </w:pPr>
      <w:r>
        <w:rPr>
          <w:sz w:val="32"/>
          <w:szCs w:val="32"/>
        </w:rPr>
        <w:t>表3-1 中心城区机动车燃油需求总量</w:t>
      </w:r>
    </w:p>
    <w:tbl>
      <w:tblPr>
        <w:tblStyle w:val="18"/>
        <w:tblW w:w="8862" w:type="dxa"/>
        <w:jc w:val="center"/>
        <w:tblLayout w:type="fixed"/>
        <w:tblCellMar>
          <w:top w:w="0" w:type="dxa"/>
          <w:left w:w="11" w:type="dxa"/>
          <w:bottom w:w="0" w:type="dxa"/>
          <w:right w:w="11" w:type="dxa"/>
        </w:tblCellMar>
      </w:tblPr>
      <w:tblGrid>
        <w:gridCol w:w="906"/>
        <w:gridCol w:w="860"/>
        <w:gridCol w:w="868"/>
        <w:gridCol w:w="907"/>
        <w:gridCol w:w="1018"/>
        <w:gridCol w:w="724"/>
        <w:gridCol w:w="1247"/>
        <w:gridCol w:w="456"/>
        <w:gridCol w:w="1058"/>
        <w:gridCol w:w="818"/>
      </w:tblGrid>
      <w:tr>
        <w:tblPrEx>
          <w:tblCellMar>
            <w:top w:w="0" w:type="dxa"/>
            <w:left w:w="11" w:type="dxa"/>
            <w:bottom w:w="0" w:type="dxa"/>
            <w:right w:w="11" w:type="dxa"/>
          </w:tblCellMar>
        </w:tblPrEx>
        <w:trPr>
          <w:trHeight w:val="94" w:hRule="atLeast"/>
          <w:jc w:val="center"/>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机动车类型</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每车平均百公里耗油量（升）</w:t>
            </w:r>
          </w:p>
        </w:tc>
        <w:tc>
          <w:tcPr>
            <w:tcW w:w="86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燃油机动车保有量（万辆）</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每车平均日行程（公里）</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车辆平均出行率（%）</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新能源车折减系数</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燃油日需求总量（升）</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密度</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燃油日需求总量（吨）</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年需求总量（万吨）</w:t>
            </w:r>
          </w:p>
        </w:tc>
      </w:tr>
      <w:tr>
        <w:tblPrEx>
          <w:tblCellMar>
            <w:top w:w="0" w:type="dxa"/>
            <w:left w:w="11" w:type="dxa"/>
            <w:bottom w:w="0" w:type="dxa"/>
            <w:right w:w="11" w:type="dxa"/>
          </w:tblCellMar>
        </w:tblPrEx>
        <w:trPr>
          <w:trHeight w:val="425" w:hRule="exact"/>
          <w:jc w:val="center"/>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客车</w:t>
            </w:r>
          </w:p>
        </w:tc>
        <w:tc>
          <w:tcPr>
            <w:tcW w:w="860"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11</w:t>
            </w:r>
          </w:p>
        </w:tc>
        <w:tc>
          <w:tcPr>
            <w:tcW w:w="86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440.8</w:t>
            </w:r>
          </w:p>
        </w:tc>
        <w:tc>
          <w:tcPr>
            <w:tcW w:w="90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46</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0.74</w:t>
            </w:r>
          </w:p>
        </w:tc>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0.60</w:t>
            </w:r>
          </w:p>
        </w:tc>
        <w:tc>
          <w:tcPr>
            <w:tcW w:w="124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9903189</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105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r>
      <w:tr>
        <w:tblPrEx>
          <w:tblCellMar>
            <w:top w:w="0" w:type="dxa"/>
            <w:left w:w="11" w:type="dxa"/>
            <w:bottom w:w="0" w:type="dxa"/>
            <w:right w:w="11" w:type="dxa"/>
          </w:tblCellMar>
        </w:tblPrEx>
        <w:trPr>
          <w:trHeight w:val="425" w:hRule="exact"/>
          <w:jc w:val="center"/>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货车</w:t>
            </w:r>
          </w:p>
        </w:tc>
        <w:tc>
          <w:tcPr>
            <w:tcW w:w="860"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22</w:t>
            </w:r>
          </w:p>
        </w:tc>
        <w:tc>
          <w:tcPr>
            <w:tcW w:w="86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25.0</w:t>
            </w:r>
          </w:p>
        </w:tc>
        <w:tc>
          <w:tcPr>
            <w:tcW w:w="90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50</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0.74</w:t>
            </w:r>
          </w:p>
        </w:tc>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0.60</w:t>
            </w:r>
          </w:p>
        </w:tc>
        <w:tc>
          <w:tcPr>
            <w:tcW w:w="124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1221000</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105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r>
      <w:tr>
        <w:tblPrEx>
          <w:tblCellMar>
            <w:top w:w="0" w:type="dxa"/>
            <w:left w:w="11" w:type="dxa"/>
            <w:bottom w:w="0" w:type="dxa"/>
            <w:right w:w="11" w:type="dxa"/>
          </w:tblCellMar>
        </w:tblPrEx>
        <w:trPr>
          <w:trHeight w:val="425" w:hRule="exact"/>
          <w:jc w:val="center"/>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摩托车</w:t>
            </w:r>
          </w:p>
        </w:tc>
        <w:tc>
          <w:tcPr>
            <w:tcW w:w="860"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3</w:t>
            </w:r>
          </w:p>
        </w:tc>
        <w:tc>
          <w:tcPr>
            <w:tcW w:w="86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35.1</w:t>
            </w:r>
          </w:p>
        </w:tc>
        <w:tc>
          <w:tcPr>
            <w:tcW w:w="90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25</w:t>
            </w: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0.74</w:t>
            </w:r>
          </w:p>
        </w:tc>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0.60</w:t>
            </w:r>
          </w:p>
        </w:tc>
        <w:tc>
          <w:tcPr>
            <w:tcW w:w="124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116883</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105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r>
      <w:tr>
        <w:tblPrEx>
          <w:tblCellMar>
            <w:top w:w="0" w:type="dxa"/>
            <w:left w:w="11" w:type="dxa"/>
            <w:bottom w:w="0" w:type="dxa"/>
            <w:right w:w="11" w:type="dxa"/>
          </w:tblCellMar>
        </w:tblPrEx>
        <w:trPr>
          <w:trHeight w:val="425" w:hRule="exact"/>
          <w:jc w:val="center"/>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kern w:val="0"/>
                <w:sz w:val="24"/>
                <w:szCs w:val="24"/>
              </w:rPr>
            </w:pPr>
            <w:r>
              <w:rPr>
                <w:kern w:val="0"/>
                <w:sz w:val="24"/>
                <w:szCs w:val="24"/>
              </w:rPr>
              <w:t>合计</w:t>
            </w:r>
          </w:p>
        </w:tc>
        <w:tc>
          <w:tcPr>
            <w:tcW w:w="860"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86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500.9</w:t>
            </w:r>
          </w:p>
        </w:tc>
        <w:tc>
          <w:tcPr>
            <w:tcW w:w="90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101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p>
        </w:tc>
        <w:tc>
          <w:tcPr>
            <w:tcW w:w="124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11241072</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0.73</w:t>
            </w:r>
          </w:p>
        </w:tc>
        <w:tc>
          <w:tcPr>
            <w:tcW w:w="105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8150</w:t>
            </w: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sz w:val="24"/>
                <w:szCs w:val="24"/>
              </w:rPr>
            </w:pPr>
            <w:r>
              <w:rPr>
                <w:sz w:val="24"/>
                <w:szCs w:val="24"/>
              </w:rPr>
              <w:t>297</w:t>
            </w:r>
          </w:p>
        </w:tc>
      </w:tr>
    </w:tbl>
    <w:p>
      <w:pPr>
        <w:pStyle w:val="5"/>
        <w:spacing w:afterLines="0" w:line="240" w:lineRule="auto"/>
        <w:rPr>
          <w:rFonts w:ascii="Times New Roman" w:hAnsi="Times New Roman" w:eastAsia="宋体"/>
          <w:sz w:val="32"/>
        </w:rPr>
      </w:pPr>
      <w:bookmarkStart w:id="353" w:name="_Toc96528575"/>
      <w:r>
        <w:rPr>
          <w:rFonts w:ascii="Times New Roman" w:hAnsi="Times New Roman" w:eastAsia="宋体"/>
          <w:sz w:val="32"/>
        </w:rPr>
        <w:t>　　3.4.3成品油零售加油站总量预测</w:t>
      </w:r>
      <w:bookmarkEnd w:id="353"/>
    </w:p>
    <w:bookmarkEnd w:id="345"/>
    <w:bookmarkEnd w:id="346"/>
    <w:bookmarkEnd w:id="347"/>
    <w:bookmarkEnd w:id="348"/>
    <w:bookmarkEnd w:id="349"/>
    <w:p>
      <w:pPr>
        <w:ind w:firstLine="650" w:firstLineChars="200"/>
        <w:rPr>
          <w:sz w:val="32"/>
          <w:szCs w:val="32"/>
        </w:rPr>
      </w:pPr>
      <w:bookmarkStart w:id="354" w:name="_Toc480892185"/>
      <w:bookmarkStart w:id="355" w:name="_Toc504035874"/>
      <w:bookmarkStart w:id="356" w:name="_Toc460434491"/>
      <w:bookmarkStart w:id="357" w:name="_Toc460436308"/>
      <w:bookmarkStart w:id="358" w:name="_Toc504035753"/>
      <w:bookmarkStart w:id="359" w:name="_Toc460434362"/>
      <w:bookmarkStart w:id="360" w:name="_Toc24212"/>
      <w:bookmarkStart w:id="361" w:name="_Toc21702"/>
      <w:bookmarkStart w:id="362" w:name="_Toc30646"/>
      <w:bookmarkStart w:id="363" w:name="_Toc480480768"/>
      <w:bookmarkStart w:id="364" w:name="_Toc504037019"/>
      <w:bookmarkStart w:id="365" w:name="_Toc479525497"/>
      <w:bookmarkStart w:id="366" w:name="_Toc504038232"/>
      <w:bookmarkStart w:id="367" w:name="_Toc492406099"/>
      <w:bookmarkStart w:id="368" w:name="_Toc504035995"/>
      <w:r>
        <w:rPr>
          <w:sz w:val="32"/>
          <w:szCs w:val="32"/>
        </w:rPr>
        <w:t>2035年中心城区机动车燃油需求总量297万吨，按照中心城区单站加油量5000吨测算，预计到2035年，中心城区加油站总量控制在595座左右,比2020年402座增加193座左右，增长48%，年均增长2.65%。</w:t>
      </w:r>
    </w:p>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Pr>
        <w:pStyle w:val="16"/>
        <w:spacing w:line="240" w:lineRule="auto"/>
        <w:jc w:val="center"/>
        <w:rPr>
          <w:rFonts w:ascii="Times New Roman" w:hAnsi="Times New Roman" w:eastAsia="宋体"/>
          <w:sz w:val="32"/>
        </w:rPr>
      </w:pPr>
      <w:bookmarkStart w:id="369" w:name="_Toc460434494"/>
      <w:bookmarkStart w:id="370" w:name="_Toc504035875"/>
      <w:bookmarkStart w:id="371" w:name="_Toc504035754"/>
      <w:bookmarkStart w:id="372" w:name="_Toc504037020"/>
      <w:bookmarkStart w:id="373" w:name="_Toc460434365"/>
      <w:bookmarkStart w:id="374" w:name="_Toc96528576"/>
      <w:bookmarkStart w:id="375" w:name="_Toc87956409"/>
    </w:p>
    <w:p>
      <w:pPr>
        <w:pStyle w:val="16"/>
        <w:spacing w:line="240" w:lineRule="auto"/>
        <w:jc w:val="center"/>
        <w:rPr>
          <w:rFonts w:ascii="Times New Roman" w:hAnsi="Times New Roman" w:eastAsia="宋体"/>
          <w:b/>
          <w:bCs w:val="0"/>
          <w:sz w:val="32"/>
        </w:rPr>
      </w:pPr>
      <w:r>
        <w:rPr>
          <w:rFonts w:ascii="Times New Roman" w:hAnsi="Times New Roman" w:eastAsia="宋体"/>
          <w:b/>
          <w:bCs w:val="0"/>
          <w:sz w:val="32"/>
        </w:rPr>
        <w:t>第四章 成品油零售加油站布局规划</w:t>
      </w:r>
      <w:bookmarkEnd w:id="369"/>
      <w:bookmarkEnd w:id="370"/>
      <w:bookmarkEnd w:id="371"/>
      <w:bookmarkEnd w:id="372"/>
      <w:bookmarkEnd w:id="373"/>
      <w:bookmarkEnd w:id="374"/>
      <w:bookmarkEnd w:id="375"/>
    </w:p>
    <w:p>
      <w:pPr>
        <w:pStyle w:val="4"/>
        <w:spacing w:beforeAutospacing="0" w:afterAutospacing="0"/>
        <w:jc w:val="both"/>
        <w:rPr>
          <w:rFonts w:hint="default" w:ascii="Times New Roman" w:hAnsi="Times New Roman"/>
          <w:sz w:val="32"/>
          <w:szCs w:val="32"/>
        </w:rPr>
      </w:pPr>
      <w:bookmarkStart w:id="376" w:name="_Toc460436047"/>
      <w:bookmarkStart w:id="377" w:name="_Toc460434500"/>
      <w:bookmarkStart w:id="378" w:name="_Toc504035879"/>
      <w:bookmarkStart w:id="379" w:name="_Toc87956410"/>
      <w:bookmarkStart w:id="380" w:name="_Toc504037024"/>
      <w:bookmarkStart w:id="381" w:name="_Toc460434371"/>
      <w:bookmarkStart w:id="382" w:name="_Toc96528577"/>
      <w:bookmarkStart w:id="383" w:name="_Toc460434366"/>
      <w:bookmarkStart w:id="384" w:name="_Toc504035876"/>
      <w:bookmarkStart w:id="385" w:name="_Toc460434495"/>
      <w:bookmarkStart w:id="386" w:name="_Toc504037021"/>
      <w:bookmarkStart w:id="387" w:name="_Toc460436046"/>
      <w:r>
        <w:rPr>
          <w:rFonts w:hint="default" w:ascii="Times New Roman" w:hAnsi="Times New Roman"/>
          <w:sz w:val="32"/>
          <w:szCs w:val="32"/>
        </w:rPr>
        <w:t>　　4.1布局原则</w:t>
      </w:r>
      <w:bookmarkEnd w:id="376"/>
      <w:bookmarkEnd w:id="377"/>
      <w:bookmarkEnd w:id="378"/>
      <w:bookmarkEnd w:id="379"/>
      <w:bookmarkEnd w:id="380"/>
      <w:bookmarkEnd w:id="381"/>
      <w:bookmarkEnd w:id="382"/>
    </w:p>
    <w:p>
      <w:pPr>
        <w:ind w:firstLine="650" w:firstLineChars="200"/>
        <w:rPr>
          <w:sz w:val="32"/>
          <w:szCs w:val="32"/>
        </w:rPr>
      </w:pPr>
      <w:bookmarkStart w:id="388" w:name="_Toc306661803"/>
      <w:r>
        <w:rPr>
          <w:sz w:val="32"/>
          <w:szCs w:val="32"/>
        </w:rPr>
        <w:t>1．控制总量：根据需求预测，控制加油站总量。</w:t>
      </w:r>
    </w:p>
    <w:p>
      <w:pPr>
        <w:ind w:firstLine="650" w:firstLineChars="200"/>
        <w:rPr>
          <w:sz w:val="32"/>
          <w:szCs w:val="32"/>
        </w:rPr>
      </w:pPr>
      <w:r>
        <w:rPr>
          <w:sz w:val="32"/>
          <w:szCs w:val="32"/>
        </w:rPr>
        <w:t>2．满足要求：加油站站址选择，应符合国土空间规划、环境保护和防火安全的要求。</w:t>
      </w:r>
    </w:p>
    <w:p>
      <w:pPr>
        <w:ind w:firstLine="650" w:firstLineChars="200"/>
        <w:rPr>
          <w:sz w:val="32"/>
          <w:szCs w:val="32"/>
        </w:rPr>
      </w:pPr>
      <w:r>
        <w:rPr>
          <w:sz w:val="32"/>
          <w:szCs w:val="32"/>
        </w:rPr>
        <w:t>3．优化布局：在十三五布点规划及现行加油站专项规划基础上，结合道路和用地情况优化加油站布局，对规划未覆盖的区域进行填补，完善能源设施功能。</w:t>
      </w:r>
    </w:p>
    <w:p>
      <w:pPr>
        <w:ind w:firstLine="650" w:firstLineChars="200"/>
        <w:rPr>
          <w:sz w:val="32"/>
          <w:szCs w:val="32"/>
        </w:rPr>
      </w:pPr>
      <w:r>
        <w:rPr>
          <w:sz w:val="32"/>
          <w:szCs w:val="32"/>
        </w:rPr>
        <w:t>4．统筹城乡：以高质量发展、高品质生活为目标，缩小城乡社会公共服务水平差距，消除城乡间成品油资源有效流动的障碍。</w:t>
      </w:r>
    </w:p>
    <w:p>
      <w:pPr>
        <w:ind w:firstLine="650" w:firstLineChars="200"/>
        <w:rPr>
          <w:sz w:val="32"/>
          <w:szCs w:val="32"/>
        </w:rPr>
      </w:pPr>
      <w:r>
        <w:rPr>
          <w:sz w:val="32"/>
          <w:szCs w:val="32"/>
        </w:rPr>
        <w:t>5．远近结合：既满足近期建设的要求，又为远期发展留有余地，为将来新能源供给（充电、加氢）提供用地保障。</w:t>
      </w:r>
    </w:p>
    <w:p>
      <w:pPr>
        <w:pStyle w:val="4"/>
        <w:spacing w:beforeAutospacing="0" w:afterAutospacing="0"/>
        <w:jc w:val="both"/>
        <w:rPr>
          <w:rFonts w:hint="default" w:ascii="Times New Roman" w:hAnsi="Times New Roman"/>
          <w:sz w:val="32"/>
          <w:szCs w:val="32"/>
        </w:rPr>
      </w:pPr>
      <w:bookmarkStart w:id="389" w:name="_Toc504035880"/>
      <w:bookmarkStart w:id="390" w:name="_Toc504037025"/>
      <w:bookmarkStart w:id="391" w:name="_Toc460434501"/>
      <w:bookmarkStart w:id="392" w:name="_Toc460434372"/>
      <w:bookmarkStart w:id="393" w:name="_Toc460436048"/>
      <w:bookmarkStart w:id="394" w:name="_Toc96528578"/>
      <w:bookmarkStart w:id="395" w:name="_Toc87956411"/>
      <w:r>
        <w:rPr>
          <w:rFonts w:hint="default" w:ascii="Times New Roman" w:hAnsi="Times New Roman"/>
          <w:sz w:val="32"/>
          <w:szCs w:val="32"/>
        </w:rPr>
        <w:t>　　4.2</w:t>
      </w:r>
      <w:bookmarkEnd w:id="388"/>
      <w:bookmarkEnd w:id="389"/>
      <w:bookmarkEnd w:id="390"/>
      <w:bookmarkEnd w:id="391"/>
      <w:bookmarkEnd w:id="392"/>
      <w:bookmarkEnd w:id="393"/>
      <w:r>
        <w:rPr>
          <w:rFonts w:hint="default" w:ascii="Times New Roman" w:hAnsi="Times New Roman"/>
          <w:sz w:val="32"/>
          <w:szCs w:val="32"/>
        </w:rPr>
        <w:t>设置标准</w:t>
      </w:r>
      <w:bookmarkEnd w:id="394"/>
      <w:bookmarkEnd w:id="395"/>
    </w:p>
    <w:p>
      <w:pPr>
        <w:pStyle w:val="5"/>
        <w:spacing w:afterLines="0" w:line="240" w:lineRule="auto"/>
        <w:rPr>
          <w:rFonts w:ascii="Times New Roman" w:hAnsi="Times New Roman" w:eastAsia="宋体"/>
          <w:sz w:val="32"/>
        </w:rPr>
      </w:pPr>
      <w:bookmarkStart w:id="396" w:name="_Toc22834"/>
      <w:bookmarkStart w:id="397" w:name="_Toc460434502"/>
      <w:bookmarkStart w:id="398" w:name="_Toc21943"/>
      <w:bookmarkStart w:id="399" w:name="_Toc479525508"/>
      <w:bookmarkStart w:id="400" w:name="_Toc18112"/>
      <w:bookmarkStart w:id="401" w:name="_Toc460434373"/>
      <w:bookmarkStart w:id="402" w:name="_Toc504035757"/>
      <w:bookmarkStart w:id="403" w:name="_Toc492406106"/>
      <w:bookmarkStart w:id="404" w:name="_Toc504037026"/>
      <w:bookmarkStart w:id="405" w:name="_Toc480892196"/>
      <w:bookmarkStart w:id="406" w:name="_Toc480480779"/>
      <w:bookmarkStart w:id="407" w:name="_Toc87956412"/>
      <w:bookmarkStart w:id="408" w:name="_Toc460436319"/>
      <w:bookmarkStart w:id="409" w:name="_Toc96528579"/>
      <w:bookmarkStart w:id="410" w:name="_Toc504035881"/>
      <w:bookmarkStart w:id="411" w:name="_Toc504038239"/>
      <w:bookmarkStart w:id="412" w:name="_Toc504036002"/>
      <w:r>
        <w:rPr>
          <w:rFonts w:ascii="Times New Roman" w:hAnsi="Times New Roman" w:eastAsia="宋体"/>
          <w:sz w:val="32"/>
        </w:rPr>
        <w:t>　　4.2.1选址要求</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ind w:firstLine="650" w:firstLineChars="200"/>
        <w:rPr>
          <w:sz w:val="32"/>
          <w:szCs w:val="32"/>
        </w:rPr>
      </w:pPr>
      <w:r>
        <w:rPr>
          <w:sz w:val="32"/>
          <w:szCs w:val="32"/>
        </w:rPr>
        <w:t>加油站的站址选择，应符合城乡总体规划、城市总体安全、环境保护和满足现行国家标准的防火安全要求，并应选址在地质条件稳定且交通便利的地方。</w:t>
      </w:r>
    </w:p>
    <w:p>
      <w:pPr>
        <w:ind w:firstLine="650" w:firstLineChars="200"/>
        <w:rPr>
          <w:sz w:val="32"/>
          <w:szCs w:val="32"/>
        </w:rPr>
      </w:pPr>
      <w:r>
        <w:rPr>
          <w:sz w:val="32"/>
          <w:szCs w:val="32"/>
        </w:rPr>
        <w:t>1．安全距离：加油站出入口与学校、医院、住宅生活区、桥梁引道口、隧道口、铁路、军事设施、轨道、高压线等设施的主要出入口距离应满足相关规范要求；</w:t>
      </w:r>
    </w:p>
    <w:p>
      <w:pPr>
        <w:ind w:firstLine="650" w:firstLineChars="200"/>
        <w:rPr>
          <w:sz w:val="32"/>
          <w:szCs w:val="32"/>
        </w:rPr>
      </w:pPr>
      <w:r>
        <w:rPr>
          <w:sz w:val="32"/>
          <w:szCs w:val="32"/>
        </w:rPr>
        <w:t>2．环境保护：风景名胜区、疗养区、高级别墅区、居民住宅区、河流、水体等区域不宜设置加油站。与城市一、二级饮用水源保护区的距离应满足相关规范要求；</w:t>
      </w:r>
    </w:p>
    <w:p>
      <w:pPr>
        <w:ind w:firstLine="650" w:firstLineChars="200"/>
        <w:rPr>
          <w:sz w:val="32"/>
          <w:szCs w:val="32"/>
        </w:rPr>
      </w:pPr>
      <w:r>
        <w:rPr>
          <w:sz w:val="32"/>
          <w:szCs w:val="32"/>
        </w:rPr>
        <w:t>3．道路条件：选址选择在交通便利的地方，但站点位置应避开重要路口以及立交匝道，从而方便组织交通；尽量避开道路交叉口，设置在路段中间；尽量避开道路弯道及竖曲线范围；</w:t>
      </w:r>
    </w:p>
    <w:p>
      <w:pPr>
        <w:ind w:firstLine="650" w:firstLineChars="200"/>
        <w:rPr>
          <w:sz w:val="32"/>
          <w:szCs w:val="32"/>
        </w:rPr>
      </w:pPr>
      <w:r>
        <w:rPr>
          <w:sz w:val="32"/>
          <w:szCs w:val="32"/>
        </w:rPr>
        <w:t xml:space="preserve">4．用地面积：加油（气）站总用地面积应含与民用一类保护物的防火间距，并考虑建筑退让等因素；中心城区内均为三级加油站，原则上占地3000平方米左右，有条件的站点4000-5000平方米，为考虑未来综合能源设置预留条件。 </w:t>
      </w:r>
    </w:p>
    <w:p>
      <w:pPr>
        <w:ind w:firstLine="650" w:firstLineChars="200"/>
        <w:rPr>
          <w:sz w:val="32"/>
          <w:szCs w:val="32"/>
        </w:rPr>
      </w:pPr>
      <w:r>
        <w:rPr>
          <w:sz w:val="32"/>
          <w:szCs w:val="32"/>
        </w:rPr>
        <w:t>5．内部交通：加油站应满足内部交通顺畅，同时尽量减小对邻近道路交通的影响，地块应尽量规整，避免异形站点的设置。</w:t>
      </w:r>
    </w:p>
    <w:p>
      <w:pPr>
        <w:pStyle w:val="5"/>
        <w:spacing w:afterLines="0" w:line="240" w:lineRule="auto"/>
        <w:rPr>
          <w:rFonts w:ascii="Times New Roman" w:hAnsi="Times New Roman" w:eastAsia="宋体"/>
          <w:sz w:val="32"/>
        </w:rPr>
      </w:pPr>
      <w:bookmarkStart w:id="413" w:name="_Toc460434503"/>
      <w:bookmarkStart w:id="414" w:name="_Toc504038240"/>
      <w:bookmarkStart w:id="415" w:name="_Toc504037027"/>
      <w:bookmarkStart w:id="416" w:name="_Toc1521"/>
      <w:bookmarkStart w:id="417" w:name="_Toc29227"/>
      <w:bookmarkStart w:id="418" w:name="_Toc480892197"/>
      <w:bookmarkStart w:id="419" w:name="_Toc460436320"/>
      <w:bookmarkStart w:id="420" w:name="_Toc504035882"/>
      <w:bookmarkStart w:id="421" w:name="_Toc504036003"/>
      <w:bookmarkStart w:id="422" w:name="_Toc18063"/>
      <w:bookmarkStart w:id="423" w:name="_Toc460434374"/>
      <w:bookmarkStart w:id="424" w:name="_Toc492406107"/>
      <w:bookmarkStart w:id="425" w:name="_Toc480480780"/>
      <w:bookmarkStart w:id="426" w:name="_Toc479525509"/>
      <w:bookmarkStart w:id="427" w:name="_Toc504035758"/>
      <w:bookmarkStart w:id="428" w:name="_Toc87956413"/>
      <w:bookmarkStart w:id="429" w:name="_Toc96528580"/>
      <w:r>
        <w:rPr>
          <w:rFonts w:ascii="Times New Roman" w:hAnsi="Times New Roman" w:eastAsia="宋体"/>
          <w:sz w:val="32"/>
        </w:rPr>
        <w:t>　　4.2.2</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Fonts w:ascii="Times New Roman" w:hAnsi="Times New Roman" w:eastAsia="宋体"/>
          <w:sz w:val="32"/>
        </w:rPr>
        <w:t>间距要求</w:t>
      </w:r>
      <w:bookmarkEnd w:id="428"/>
      <w:bookmarkEnd w:id="429"/>
    </w:p>
    <w:p>
      <w:pPr>
        <w:ind w:firstLine="650" w:firstLineChars="200"/>
        <w:rPr>
          <w:sz w:val="32"/>
          <w:szCs w:val="32"/>
        </w:rPr>
      </w:pPr>
      <w:r>
        <w:rPr>
          <w:sz w:val="32"/>
          <w:szCs w:val="32"/>
        </w:rPr>
        <w:t>1．城区加油站的服务半径不低于0.9公里。对于重庆特殊地形条件，服务半径应以车行距离进行综合评价，即城区加油站之间最近交通车辆距离不得低于1.8公里，并考虑中央分隔带对站点直达互通的限制，对核心区加油站点进行适当加密，有中央分隔带的快速路上可以进行对向设置。</w:t>
      </w:r>
    </w:p>
    <w:p>
      <w:pPr>
        <w:ind w:firstLine="650" w:firstLineChars="200"/>
        <w:rPr>
          <w:sz w:val="32"/>
          <w:szCs w:val="32"/>
        </w:rPr>
      </w:pPr>
      <w:r>
        <w:rPr>
          <w:sz w:val="32"/>
          <w:szCs w:val="32"/>
        </w:rPr>
        <w:t>2．高速公路沿线宜结合服务区规划成对设置，每百公里双向不超过2对。</w:t>
      </w:r>
    </w:p>
    <w:p>
      <w:pPr>
        <w:ind w:firstLine="650" w:firstLineChars="200"/>
        <w:rPr>
          <w:sz w:val="32"/>
          <w:szCs w:val="32"/>
        </w:rPr>
      </w:pPr>
      <w:r>
        <w:rPr>
          <w:sz w:val="32"/>
          <w:szCs w:val="32"/>
        </w:rPr>
        <w:t>3．国道、省道沿线每百公里双向不超过6对，两站间距不得低于5公里。</w:t>
      </w:r>
    </w:p>
    <w:p>
      <w:pPr>
        <w:ind w:firstLine="650" w:firstLineChars="200"/>
        <w:rPr>
          <w:sz w:val="32"/>
          <w:szCs w:val="32"/>
        </w:rPr>
      </w:pPr>
      <w:r>
        <w:rPr>
          <w:sz w:val="32"/>
          <w:szCs w:val="32"/>
        </w:rPr>
        <w:t>4．县道、乡道沿线每百公里双向不超过4对，且两站间距不得低于5公里。</w:t>
      </w:r>
    </w:p>
    <w:p>
      <w:pPr>
        <w:pStyle w:val="4"/>
        <w:spacing w:beforeAutospacing="0" w:afterAutospacing="0"/>
        <w:jc w:val="both"/>
        <w:rPr>
          <w:rFonts w:hint="default" w:ascii="Times New Roman" w:hAnsi="Times New Roman"/>
          <w:sz w:val="32"/>
          <w:szCs w:val="32"/>
        </w:rPr>
      </w:pPr>
      <w:bookmarkStart w:id="430" w:name="_Toc87956414"/>
      <w:bookmarkStart w:id="431" w:name="_Toc96528581"/>
      <w:r>
        <w:rPr>
          <w:rFonts w:hint="default" w:ascii="Times New Roman" w:hAnsi="Times New Roman"/>
          <w:sz w:val="32"/>
          <w:szCs w:val="32"/>
        </w:rPr>
        <w:t>　　4.3总体</w:t>
      </w:r>
      <w:bookmarkEnd w:id="383"/>
      <w:bookmarkEnd w:id="384"/>
      <w:bookmarkEnd w:id="385"/>
      <w:bookmarkEnd w:id="386"/>
      <w:bookmarkEnd w:id="387"/>
      <w:r>
        <w:rPr>
          <w:rFonts w:hint="default" w:ascii="Times New Roman" w:hAnsi="Times New Roman"/>
          <w:sz w:val="32"/>
          <w:szCs w:val="32"/>
        </w:rPr>
        <w:t>目标</w:t>
      </w:r>
      <w:bookmarkEnd w:id="430"/>
      <w:bookmarkEnd w:id="431"/>
    </w:p>
    <w:p>
      <w:pPr>
        <w:pStyle w:val="3"/>
        <w:ind w:left="0" w:leftChars="0" w:firstLine="650" w:firstLineChars="200"/>
        <w:rPr>
          <w:rFonts w:ascii="Times New Roman" w:hAnsi="Times New Roman" w:eastAsia="宋体" w:cs="Times New Roman"/>
          <w:kern w:val="2"/>
          <w:sz w:val="32"/>
          <w:szCs w:val="32"/>
          <w:lang w:val="en-US" w:eastAsia="zh-CN" w:bidi="ar-SA"/>
        </w:rPr>
      </w:pPr>
      <w:r>
        <w:rPr>
          <w:rFonts w:hint="eastAsia" w:ascii="Times New Roman" w:hAnsi="Times New Roman" w:eastAsia="宋体" w:cs="Times New Roman"/>
          <w:kern w:val="2"/>
          <w:sz w:val="32"/>
          <w:szCs w:val="32"/>
          <w:lang w:val="en-US" w:eastAsia="zh-CN" w:bidi="ar-SA"/>
        </w:rPr>
        <w:t>重庆市2020年末现状加油站1738座（其中中心城区402座，其余区县1336座），本次共计新规划加油站427座（其中中心城区13座，其余区县414座）。</w:t>
      </w:r>
    </w:p>
    <w:p>
      <w:pPr>
        <w:pStyle w:val="4"/>
        <w:spacing w:beforeAutospacing="0" w:afterAutospacing="0"/>
        <w:jc w:val="both"/>
        <w:rPr>
          <w:rFonts w:hint="default" w:ascii="Times New Roman" w:hAnsi="Times New Roman"/>
          <w:sz w:val="32"/>
          <w:szCs w:val="32"/>
        </w:rPr>
      </w:pPr>
      <w:bookmarkStart w:id="432" w:name="_Toc504035883"/>
      <w:bookmarkStart w:id="433" w:name="_Toc460434375"/>
      <w:bookmarkStart w:id="434" w:name="_Toc87956415"/>
      <w:bookmarkStart w:id="435" w:name="_Toc96528582"/>
      <w:bookmarkStart w:id="436" w:name="_Toc460434504"/>
      <w:bookmarkStart w:id="437" w:name="_Toc460436049"/>
      <w:bookmarkStart w:id="438" w:name="_Toc504037028"/>
      <w:r>
        <w:rPr>
          <w:rFonts w:hint="default" w:ascii="Times New Roman" w:hAnsi="Times New Roman"/>
          <w:sz w:val="32"/>
          <w:szCs w:val="32"/>
        </w:rPr>
        <w:t>　　4.4布局方案</w:t>
      </w:r>
      <w:bookmarkEnd w:id="432"/>
      <w:bookmarkEnd w:id="433"/>
      <w:bookmarkEnd w:id="434"/>
      <w:bookmarkEnd w:id="435"/>
      <w:bookmarkEnd w:id="436"/>
      <w:bookmarkEnd w:id="437"/>
      <w:bookmarkEnd w:id="438"/>
    </w:p>
    <w:bookmarkEnd w:id="350"/>
    <w:p>
      <w:pPr>
        <w:pStyle w:val="5"/>
        <w:spacing w:afterLines="0" w:line="240" w:lineRule="auto"/>
        <w:rPr>
          <w:rFonts w:ascii="Times New Roman" w:hAnsi="Times New Roman" w:eastAsia="宋体"/>
          <w:sz w:val="32"/>
        </w:rPr>
      </w:pPr>
      <w:bookmarkStart w:id="439" w:name="_Toc460434376"/>
      <w:bookmarkStart w:id="440" w:name="_Toc460436322"/>
      <w:bookmarkStart w:id="441" w:name="_Toc31904"/>
      <w:bookmarkStart w:id="442" w:name="_Toc460434505"/>
      <w:bookmarkStart w:id="443" w:name="_Toc480480782"/>
      <w:bookmarkStart w:id="444" w:name="_Toc22487"/>
      <w:bookmarkStart w:id="445" w:name="_Toc10519"/>
      <w:bookmarkStart w:id="446" w:name="_Toc479525511"/>
      <w:bookmarkStart w:id="447" w:name="_Toc480892199"/>
      <w:bookmarkStart w:id="448" w:name="_Toc504037029"/>
      <w:bookmarkStart w:id="449" w:name="_Toc504035759"/>
      <w:bookmarkStart w:id="450" w:name="_Toc504038242"/>
      <w:bookmarkStart w:id="451" w:name="_Toc87956416"/>
      <w:bookmarkStart w:id="452" w:name="_Toc96528583"/>
      <w:bookmarkStart w:id="453" w:name="_Toc504035884"/>
      <w:bookmarkStart w:id="454" w:name="_Toc492406109"/>
      <w:bookmarkStart w:id="455" w:name="_Toc504036005"/>
      <w:r>
        <w:rPr>
          <w:rFonts w:ascii="Times New Roman" w:hAnsi="Times New Roman" w:eastAsia="宋体"/>
          <w:sz w:val="32"/>
        </w:rPr>
        <w:t xml:space="preserve">　　4.4.1 </w:t>
      </w:r>
      <w:bookmarkEnd w:id="439"/>
      <w:bookmarkEnd w:id="440"/>
      <w:bookmarkEnd w:id="441"/>
      <w:bookmarkEnd w:id="442"/>
      <w:bookmarkEnd w:id="443"/>
      <w:bookmarkEnd w:id="444"/>
      <w:bookmarkEnd w:id="445"/>
      <w:bookmarkEnd w:id="446"/>
      <w:bookmarkEnd w:id="447"/>
      <w:r>
        <w:rPr>
          <w:rFonts w:ascii="Times New Roman" w:hAnsi="Times New Roman" w:eastAsia="宋体"/>
          <w:sz w:val="32"/>
        </w:rPr>
        <w:t>中心城区</w:t>
      </w:r>
      <w:bookmarkEnd w:id="448"/>
      <w:bookmarkEnd w:id="449"/>
      <w:bookmarkEnd w:id="450"/>
      <w:bookmarkEnd w:id="451"/>
      <w:bookmarkEnd w:id="452"/>
      <w:bookmarkEnd w:id="453"/>
      <w:bookmarkEnd w:id="454"/>
      <w:bookmarkEnd w:id="455"/>
    </w:p>
    <w:p>
      <w:pPr>
        <w:ind w:firstLine="650" w:firstLineChars="200"/>
        <w:rPr>
          <w:sz w:val="32"/>
          <w:szCs w:val="32"/>
        </w:rPr>
      </w:pPr>
      <w:r>
        <w:rPr>
          <w:sz w:val="32"/>
          <w:szCs w:val="32"/>
        </w:rPr>
        <w:t>截止2020年末，中心城区现状加油站402座；结合需求预测，本次规划加油站194座（详见附表1），其中新规划13座，迁建29座，扩建4座，调整148座（其中调整续建62座，调整新建86座）；规划期末合计596座。</w:t>
      </w:r>
    </w:p>
    <w:p>
      <w:pPr>
        <w:jc w:val="center"/>
        <w:rPr>
          <w:sz w:val="32"/>
          <w:szCs w:val="32"/>
        </w:rPr>
      </w:pPr>
      <w:r>
        <w:rPr>
          <w:sz w:val="32"/>
          <w:szCs w:val="32"/>
        </w:rPr>
        <w:t>表4-1 中心城区成品油零售加油站发展规划汇总表</w:t>
      </w:r>
      <w:bookmarkStart w:id="456" w:name="_Toc8868"/>
      <w:bookmarkStart w:id="457" w:name="_Toc480480783"/>
      <w:bookmarkStart w:id="458" w:name="_Toc479525512"/>
      <w:bookmarkStart w:id="459" w:name="_Toc29850"/>
      <w:bookmarkStart w:id="460" w:name="_Toc504035760"/>
      <w:bookmarkStart w:id="461" w:name="_Toc504037030"/>
      <w:bookmarkStart w:id="462" w:name="_Toc460434377"/>
      <w:bookmarkStart w:id="463" w:name="_Toc504038243"/>
      <w:bookmarkStart w:id="464" w:name="_Toc492406110"/>
      <w:bookmarkStart w:id="465" w:name="_Toc504035885"/>
      <w:bookmarkStart w:id="466" w:name="_Toc504036006"/>
      <w:bookmarkStart w:id="467" w:name="_Toc480892200"/>
      <w:bookmarkStart w:id="468" w:name="_Toc460434506"/>
      <w:bookmarkStart w:id="469" w:name="_Toc460436323"/>
      <w:bookmarkStart w:id="470" w:name="_Toc17446"/>
    </w:p>
    <w:tbl>
      <w:tblPr>
        <w:tblStyle w:val="18"/>
        <w:tblW w:w="90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1"/>
        <w:gridCol w:w="1170"/>
        <w:gridCol w:w="1009"/>
        <w:gridCol w:w="868"/>
        <w:gridCol w:w="823"/>
        <w:gridCol w:w="947"/>
        <w:gridCol w:w="957"/>
        <w:gridCol w:w="1011"/>
        <w:gridCol w:w="1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jc w:val="center"/>
        </w:trPr>
        <w:tc>
          <w:tcPr>
            <w:tcW w:w="1241" w:type="dxa"/>
            <w:vMerge w:val="restart"/>
            <w:vAlign w:val="center"/>
          </w:tcPr>
          <w:p>
            <w:pPr>
              <w:widowControl/>
              <w:snapToGrid w:val="0"/>
              <w:jc w:val="center"/>
              <w:rPr>
                <w:kern w:val="0"/>
                <w:sz w:val="24"/>
                <w:szCs w:val="24"/>
              </w:rPr>
            </w:pPr>
            <w:r>
              <w:rPr>
                <w:kern w:val="0"/>
                <w:sz w:val="24"/>
                <w:szCs w:val="24"/>
              </w:rPr>
              <w:t>区县</w:t>
            </w:r>
          </w:p>
        </w:tc>
        <w:tc>
          <w:tcPr>
            <w:tcW w:w="1170" w:type="dxa"/>
            <w:vMerge w:val="restart"/>
            <w:vAlign w:val="center"/>
          </w:tcPr>
          <w:p>
            <w:pPr>
              <w:widowControl/>
              <w:snapToGrid w:val="0"/>
              <w:jc w:val="center"/>
              <w:rPr>
                <w:kern w:val="0"/>
                <w:sz w:val="24"/>
                <w:szCs w:val="24"/>
              </w:rPr>
            </w:pPr>
            <w:r>
              <w:rPr>
                <w:kern w:val="0"/>
                <w:sz w:val="24"/>
                <w:szCs w:val="24"/>
              </w:rPr>
              <w:t>2020年底现状站（座）</w:t>
            </w:r>
          </w:p>
        </w:tc>
        <w:tc>
          <w:tcPr>
            <w:tcW w:w="5615" w:type="dxa"/>
            <w:gridSpan w:val="6"/>
            <w:vAlign w:val="center"/>
          </w:tcPr>
          <w:p>
            <w:pPr>
              <w:widowControl/>
              <w:snapToGrid w:val="0"/>
              <w:jc w:val="center"/>
              <w:rPr>
                <w:kern w:val="0"/>
                <w:sz w:val="24"/>
                <w:szCs w:val="24"/>
              </w:rPr>
            </w:pPr>
            <w:r>
              <w:rPr>
                <w:kern w:val="0"/>
                <w:sz w:val="24"/>
                <w:szCs w:val="24"/>
              </w:rPr>
              <w:t>本次规划（座）</w:t>
            </w:r>
          </w:p>
        </w:tc>
        <w:tc>
          <w:tcPr>
            <w:tcW w:w="1008" w:type="dxa"/>
            <w:vMerge w:val="restart"/>
            <w:vAlign w:val="center"/>
          </w:tcPr>
          <w:p>
            <w:pPr>
              <w:widowControl/>
              <w:snapToGrid w:val="0"/>
              <w:jc w:val="center"/>
              <w:rPr>
                <w:kern w:val="0"/>
                <w:sz w:val="24"/>
                <w:szCs w:val="24"/>
              </w:rPr>
            </w:pPr>
            <w:r>
              <w:rPr>
                <w:kern w:val="0"/>
                <w:sz w:val="24"/>
                <w:szCs w:val="24"/>
              </w:rPr>
              <w:t>规划期末（座）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1241" w:type="dxa"/>
            <w:vMerge w:val="continue"/>
            <w:vAlign w:val="center"/>
          </w:tcPr>
          <w:p>
            <w:pPr>
              <w:widowControl/>
              <w:snapToGrid w:val="0"/>
              <w:jc w:val="center"/>
              <w:rPr>
                <w:kern w:val="0"/>
                <w:sz w:val="24"/>
                <w:szCs w:val="24"/>
              </w:rPr>
            </w:pPr>
          </w:p>
        </w:tc>
        <w:tc>
          <w:tcPr>
            <w:tcW w:w="1170" w:type="dxa"/>
            <w:vMerge w:val="continue"/>
            <w:vAlign w:val="center"/>
          </w:tcPr>
          <w:p>
            <w:pPr>
              <w:widowControl/>
              <w:snapToGrid w:val="0"/>
              <w:jc w:val="center"/>
              <w:rPr>
                <w:kern w:val="0"/>
                <w:sz w:val="24"/>
                <w:szCs w:val="24"/>
              </w:rPr>
            </w:pPr>
          </w:p>
        </w:tc>
        <w:tc>
          <w:tcPr>
            <w:tcW w:w="1009" w:type="dxa"/>
            <w:vAlign w:val="center"/>
          </w:tcPr>
          <w:p>
            <w:pPr>
              <w:widowControl/>
              <w:snapToGrid w:val="0"/>
              <w:jc w:val="center"/>
              <w:rPr>
                <w:kern w:val="0"/>
                <w:sz w:val="24"/>
                <w:szCs w:val="24"/>
              </w:rPr>
            </w:pPr>
            <w:r>
              <w:rPr>
                <w:kern w:val="0"/>
                <w:sz w:val="24"/>
                <w:szCs w:val="24"/>
              </w:rPr>
              <w:t>新规划（座）</w:t>
            </w:r>
          </w:p>
        </w:tc>
        <w:tc>
          <w:tcPr>
            <w:tcW w:w="868" w:type="dxa"/>
            <w:vAlign w:val="center"/>
          </w:tcPr>
          <w:p>
            <w:pPr>
              <w:widowControl/>
              <w:snapToGrid w:val="0"/>
              <w:jc w:val="center"/>
              <w:rPr>
                <w:kern w:val="0"/>
                <w:sz w:val="24"/>
                <w:szCs w:val="24"/>
              </w:rPr>
            </w:pPr>
            <w:r>
              <w:rPr>
                <w:kern w:val="0"/>
                <w:sz w:val="24"/>
                <w:szCs w:val="24"/>
              </w:rPr>
              <w:t>迁建（座）</w:t>
            </w:r>
          </w:p>
        </w:tc>
        <w:tc>
          <w:tcPr>
            <w:tcW w:w="823" w:type="dxa"/>
            <w:vAlign w:val="center"/>
          </w:tcPr>
          <w:p>
            <w:pPr>
              <w:widowControl/>
              <w:snapToGrid w:val="0"/>
              <w:jc w:val="center"/>
              <w:rPr>
                <w:kern w:val="0"/>
                <w:sz w:val="24"/>
                <w:szCs w:val="24"/>
              </w:rPr>
            </w:pPr>
            <w:r>
              <w:rPr>
                <w:kern w:val="0"/>
                <w:sz w:val="24"/>
                <w:szCs w:val="24"/>
              </w:rPr>
              <w:t>扩建（座）</w:t>
            </w:r>
          </w:p>
        </w:tc>
        <w:tc>
          <w:tcPr>
            <w:tcW w:w="947" w:type="dxa"/>
            <w:vAlign w:val="center"/>
          </w:tcPr>
          <w:p>
            <w:pPr>
              <w:widowControl/>
              <w:snapToGrid w:val="0"/>
              <w:jc w:val="center"/>
              <w:rPr>
                <w:kern w:val="0"/>
                <w:sz w:val="24"/>
                <w:szCs w:val="24"/>
              </w:rPr>
            </w:pPr>
            <w:r>
              <w:rPr>
                <w:kern w:val="0"/>
                <w:sz w:val="24"/>
                <w:szCs w:val="24"/>
              </w:rPr>
              <w:t>调整续建（座）</w:t>
            </w:r>
          </w:p>
        </w:tc>
        <w:tc>
          <w:tcPr>
            <w:tcW w:w="957" w:type="dxa"/>
            <w:vAlign w:val="center"/>
          </w:tcPr>
          <w:p>
            <w:pPr>
              <w:widowControl/>
              <w:snapToGrid w:val="0"/>
              <w:jc w:val="center"/>
              <w:rPr>
                <w:kern w:val="0"/>
                <w:sz w:val="24"/>
                <w:szCs w:val="24"/>
              </w:rPr>
            </w:pPr>
            <w:r>
              <w:rPr>
                <w:kern w:val="0"/>
                <w:sz w:val="24"/>
                <w:szCs w:val="24"/>
              </w:rPr>
              <w:t>调整新建（座）</w:t>
            </w:r>
          </w:p>
        </w:tc>
        <w:tc>
          <w:tcPr>
            <w:tcW w:w="1011" w:type="dxa"/>
            <w:vAlign w:val="center"/>
          </w:tcPr>
          <w:p>
            <w:pPr>
              <w:widowControl/>
              <w:snapToGrid w:val="0"/>
              <w:jc w:val="center"/>
              <w:rPr>
                <w:kern w:val="0"/>
                <w:sz w:val="24"/>
                <w:szCs w:val="24"/>
              </w:rPr>
            </w:pPr>
            <w:r>
              <w:rPr>
                <w:kern w:val="0"/>
                <w:sz w:val="24"/>
                <w:szCs w:val="24"/>
              </w:rPr>
              <w:t>合计（座）</w:t>
            </w:r>
          </w:p>
        </w:tc>
        <w:tc>
          <w:tcPr>
            <w:tcW w:w="1008" w:type="dxa"/>
            <w:vMerge w:val="continue"/>
            <w:vAlign w:val="center"/>
          </w:tcPr>
          <w:p>
            <w:pPr>
              <w:widowControl/>
              <w:snapToGrid w:val="0"/>
              <w:jc w:val="center"/>
              <w:rPr>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大渡口区</w:t>
            </w:r>
          </w:p>
        </w:tc>
        <w:tc>
          <w:tcPr>
            <w:tcW w:w="1170" w:type="dxa"/>
            <w:vAlign w:val="center"/>
          </w:tcPr>
          <w:p>
            <w:pPr>
              <w:snapToGrid w:val="0"/>
              <w:jc w:val="center"/>
              <w:rPr>
                <w:sz w:val="24"/>
                <w:szCs w:val="24"/>
              </w:rPr>
            </w:pPr>
            <w:r>
              <w:rPr>
                <w:sz w:val="24"/>
                <w:szCs w:val="24"/>
              </w:rPr>
              <w:t>13</w:t>
            </w:r>
          </w:p>
        </w:tc>
        <w:tc>
          <w:tcPr>
            <w:tcW w:w="1009" w:type="dxa"/>
            <w:vAlign w:val="center"/>
          </w:tcPr>
          <w:p>
            <w:pPr>
              <w:snapToGrid w:val="0"/>
              <w:jc w:val="center"/>
              <w:rPr>
                <w:sz w:val="24"/>
                <w:szCs w:val="24"/>
              </w:rPr>
            </w:pPr>
            <w:r>
              <w:rPr>
                <w:sz w:val="24"/>
                <w:szCs w:val="24"/>
              </w:rPr>
              <w:t>0</w:t>
            </w:r>
          </w:p>
        </w:tc>
        <w:tc>
          <w:tcPr>
            <w:tcW w:w="868" w:type="dxa"/>
            <w:vAlign w:val="center"/>
          </w:tcPr>
          <w:p>
            <w:pPr>
              <w:snapToGrid w:val="0"/>
              <w:jc w:val="center"/>
              <w:rPr>
                <w:sz w:val="24"/>
                <w:szCs w:val="24"/>
              </w:rPr>
            </w:pPr>
            <w:r>
              <w:rPr>
                <w:sz w:val="24"/>
                <w:szCs w:val="24"/>
              </w:rPr>
              <w:t>1</w:t>
            </w:r>
          </w:p>
        </w:tc>
        <w:tc>
          <w:tcPr>
            <w:tcW w:w="823" w:type="dxa"/>
            <w:vAlign w:val="center"/>
          </w:tcPr>
          <w:p>
            <w:pPr>
              <w:snapToGrid w:val="0"/>
              <w:jc w:val="center"/>
              <w:rPr>
                <w:sz w:val="24"/>
                <w:szCs w:val="24"/>
              </w:rPr>
            </w:pPr>
            <w:r>
              <w:rPr>
                <w:sz w:val="24"/>
                <w:szCs w:val="24"/>
              </w:rPr>
              <w:t>3</w:t>
            </w:r>
          </w:p>
        </w:tc>
        <w:tc>
          <w:tcPr>
            <w:tcW w:w="947" w:type="dxa"/>
            <w:vAlign w:val="center"/>
          </w:tcPr>
          <w:p>
            <w:pPr>
              <w:snapToGrid w:val="0"/>
              <w:jc w:val="center"/>
              <w:rPr>
                <w:sz w:val="24"/>
                <w:szCs w:val="24"/>
              </w:rPr>
            </w:pPr>
            <w:r>
              <w:rPr>
                <w:sz w:val="24"/>
                <w:szCs w:val="24"/>
              </w:rPr>
              <w:t>5</w:t>
            </w:r>
          </w:p>
        </w:tc>
        <w:tc>
          <w:tcPr>
            <w:tcW w:w="957" w:type="dxa"/>
            <w:vAlign w:val="center"/>
          </w:tcPr>
          <w:p>
            <w:pPr>
              <w:snapToGrid w:val="0"/>
              <w:jc w:val="center"/>
              <w:rPr>
                <w:sz w:val="24"/>
                <w:szCs w:val="24"/>
              </w:rPr>
            </w:pPr>
            <w:r>
              <w:rPr>
                <w:sz w:val="24"/>
                <w:szCs w:val="24"/>
              </w:rPr>
              <w:t>3</w:t>
            </w:r>
          </w:p>
        </w:tc>
        <w:tc>
          <w:tcPr>
            <w:tcW w:w="1011" w:type="dxa"/>
            <w:vAlign w:val="center"/>
          </w:tcPr>
          <w:p>
            <w:pPr>
              <w:snapToGrid w:val="0"/>
              <w:jc w:val="center"/>
              <w:rPr>
                <w:sz w:val="24"/>
                <w:szCs w:val="24"/>
              </w:rPr>
            </w:pPr>
            <w:r>
              <w:rPr>
                <w:sz w:val="24"/>
                <w:szCs w:val="24"/>
              </w:rPr>
              <w:t>12</w:t>
            </w:r>
          </w:p>
        </w:tc>
        <w:tc>
          <w:tcPr>
            <w:tcW w:w="1008" w:type="dxa"/>
            <w:vAlign w:val="center"/>
          </w:tcPr>
          <w:p>
            <w:pPr>
              <w:snapToGrid w:val="0"/>
              <w:jc w:val="center"/>
              <w:rPr>
                <w:sz w:val="24"/>
                <w:szCs w:val="24"/>
              </w:rPr>
            </w:pPr>
            <w:r>
              <w:rPr>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北碚区</w:t>
            </w:r>
          </w:p>
        </w:tc>
        <w:tc>
          <w:tcPr>
            <w:tcW w:w="1170" w:type="dxa"/>
            <w:vAlign w:val="center"/>
          </w:tcPr>
          <w:p>
            <w:pPr>
              <w:snapToGrid w:val="0"/>
              <w:jc w:val="center"/>
              <w:rPr>
                <w:sz w:val="24"/>
                <w:szCs w:val="24"/>
              </w:rPr>
            </w:pPr>
            <w:r>
              <w:rPr>
                <w:sz w:val="24"/>
                <w:szCs w:val="24"/>
              </w:rPr>
              <w:t>47</w:t>
            </w:r>
          </w:p>
        </w:tc>
        <w:tc>
          <w:tcPr>
            <w:tcW w:w="1009" w:type="dxa"/>
            <w:vAlign w:val="center"/>
          </w:tcPr>
          <w:p>
            <w:pPr>
              <w:snapToGrid w:val="0"/>
              <w:jc w:val="center"/>
              <w:rPr>
                <w:sz w:val="24"/>
                <w:szCs w:val="24"/>
              </w:rPr>
            </w:pPr>
            <w:r>
              <w:rPr>
                <w:sz w:val="24"/>
                <w:szCs w:val="24"/>
              </w:rPr>
              <w:t>0</w:t>
            </w:r>
          </w:p>
        </w:tc>
        <w:tc>
          <w:tcPr>
            <w:tcW w:w="868" w:type="dxa"/>
            <w:vAlign w:val="center"/>
          </w:tcPr>
          <w:p>
            <w:pPr>
              <w:snapToGrid w:val="0"/>
              <w:jc w:val="center"/>
              <w:rPr>
                <w:sz w:val="24"/>
                <w:szCs w:val="24"/>
              </w:rPr>
            </w:pPr>
            <w:r>
              <w:rPr>
                <w:sz w:val="24"/>
                <w:szCs w:val="24"/>
              </w:rPr>
              <w:t>0</w:t>
            </w:r>
          </w:p>
        </w:tc>
        <w:tc>
          <w:tcPr>
            <w:tcW w:w="823" w:type="dxa"/>
            <w:vAlign w:val="center"/>
          </w:tcPr>
          <w:p>
            <w:pPr>
              <w:snapToGrid w:val="0"/>
              <w:jc w:val="center"/>
              <w:rPr>
                <w:sz w:val="24"/>
                <w:szCs w:val="24"/>
              </w:rPr>
            </w:pPr>
            <w:r>
              <w:rPr>
                <w:sz w:val="24"/>
                <w:szCs w:val="24"/>
              </w:rPr>
              <w:t>0</w:t>
            </w:r>
          </w:p>
        </w:tc>
        <w:tc>
          <w:tcPr>
            <w:tcW w:w="947" w:type="dxa"/>
            <w:vAlign w:val="center"/>
          </w:tcPr>
          <w:p>
            <w:pPr>
              <w:snapToGrid w:val="0"/>
              <w:jc w:val="center"/>
              <w:rPr>
                <w:sz w:val="24"/>
                <w:szCs w:val="24"/>
              </w:rPr>
            </w:pPr>
            <w:r>
              <w:rPr>
                <w:sz w:val="24"/>
                <w:szCs w:val="24"/>
              </w:rPr>
              <w:t>5</w:t>
            </w:r>
          </w:p>
        </w:tc>
        <w:tc>
          <w:tcPr>
            <w:tcW w:w="957" w:type="dxa"/>
            <w:vAlign w:val="center"/>
          </w:tcPr>
          <w:p>
            <w:pPr>
              <w:snapToGrid w:val="0"/>
              <w:jc w:val="center"/>
              <w:rPr>
                <w:sz w:val="24"/>
                <w:szCs w:val="24"/>
              </w:rPr>
            </w:pPr>
            <w:r>
              <w:rPr>
                <w:sz w:val="24"/>
                <w:szCs w:val="24"/>
              </w:rPr>
              <w:t>10</w:t>
            </w:r>
          </w:p>
        </w:tc>
        <w:tc>
          <w:tcPr>
            <w:tcW w:w="1011" w:type="dxa"/>
            <w:vAlign w:val="center"/>
          </w:tcPr>
          <w:p>
            <w:pPr>
              <w:snapToGrid w:val="0"/>
              <w:jc w:val="center"/>
              <w:rPr>
                <w:sz w:val="24"/>
                <w:szCs w:val="24"/>
              </w:rPr>
            </w:pPr>
            <w:r>
              <w:rPr>
                <w:sz w:val="24"/>
                <w:szCs w:val="24"/>
              </w:rPr>
              <w:t>15</w:t>
            </w:r>
          </w:p>
        </w:tc>
        <w:tc>
          <w:tcPr>
            <w:tcW w:w="1008" w:type="dxa"/>
            <w:vAlign w:val="center"/>
          </w:tcPr>
          <w:p>
            <w:pPr>
              <w:snapToGrid w:val="0"/>
              <w:jc w:val="center"/>
              <w:rPr>
                <w:sz w:val="24"/>
                <w:szCs w:val="24"/>
              </w:rPr>
            </w:pPr>
            <w:r>
              <w:rPr>
                <w:sz w:val="24"/>
                <w:szCs w:val="24"/>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南岸区</w:t>
            </w:r>
          </w:p>
        </w:tc>
        <w:tc>
          <w:tcPr>
            <w:tcW w:w="1170" w:type="dxa"/>
            <w:vAlign w:val="center"/>
          </w:tcPr>
          <w:p>
            <w:pPr>
              <w:snapToGrid w:val="0"/>
              <w:jc w:val="center"/>
              <w:rPr>
                <w:sz w:val="24"/>
                <w:szCs w:val="24"/>
              </w:rPr>
            </w:pPr>
            <w:r>
              <w:rPr>
                <w:sz w:val="24"/>
                <w:szCs w:val="24"/>
              </w:rPr>
              <w:t>44</w:t>
            </w:r>
          </w:p>
        </w:tc>
        <w:tc>
          <w:tcPr>
            <w:tcW w:w="1009" w:type="dxa"/>
            <w:vAlign w:val="center"/>
          </w:tcPr>
          <w:p>
            <w:pPr>
              <w:snapToGrid w:val="0"/>
              <w:jc w:val="center"/>
              <w:rPr>
                <w:sz w:val="24"/>
                <w:szCs w:val="24"/>
              </w:rPr>
            </w:pPr>
            <w:r>
              <w:rPr>
                <w:sz w:val="24"/>
                <w:szCs w:val="24"/>
              </w:rPr>
              <w:t>0</w:t>
            </w:r>
          </w:p>
        </w:tc>
        <w:tc>
          <w:tcPr>
            <w:tcW w:w="868" w:type="dxa"/>
            <w:vAlign w:val="center"/>
          </w:tcPr>
          <w:p>
            <w:pPr>
              <w:snapToGrid w:val="0"/>
              <w:jc w:val="center"/>
              <w:rPr>
                <w:sz w:val="24"/>
                <w:szCs w:val="24"/>
              </w:rPr>
            </w:pPr>
            <w:r>
              <w:rPr>
                <w:sz w:val="24"/>
                <w:szCs w:val="24"/>
              </w:rPr>
              <w:t>3</w:t>
            </w:r>
          </w:p>
        </w:tc>
        <w:tc>
          <w:tcPr>
            <w:tcW w:w="823" w:type="dxa"/>
            <w:vAlign w:val="center"/>
          </w:tcPr>
          <w:p>
            <w:pPr>
              <w:snapToGrid w:val="0"/>
              <w:jc w:val="center"/>
              <w:rPr>
                <w:sz w:val="24"/>
                <w:szCs w:val="24"/>
              </w:rPr>
            </w:pPr>
            <w:r>
              <w:rPr>
                <w:sz w:val="24"/>
                <w:szCs w:val="24"/>
              </w:rPr>
              <w:t>0</w:t>
            </w:r>
          </w:p>
        </w:tc>
        <w:tc>
          <w:tcPr>
            <w:tcW w:w="947" w:type="dxa"/>
            <w:vAlign w:val="center"/>
          </w:tcPr>
          <w:p>
            <w:pPr>
              <w:snapToGrid w:val="0"/>
              <w:jc w:val="center"/>
              <w:rPr>
                <w:sz w:val="24"/>
                <w:szCs w:val="24"/>
              </w:rPr>
            </w:pPr>
            <w:r>
              <w:rPr>
                <w:sz w:val="24"/>
                <w:szCs w:val="24"/>
              </w:rPr>
              <w:t>10</w:t>
            </w:r>
          </w:p>
        </w:tc>
        <w:tc>
          <w:tcPr>
            <w:tcW w:w="957" w:type="dxa"/>
            <w:vAlign w:val="center"/>
          </w:tcPr>
          <w:p>
            <w:pPr>
              <w:snapToGrid w:val="0"/>
              <w:jc w:val="center"/>
              <w:rPr>
                <w:sz w:val="24"/>
                <w:szCs w:val="24"/>
              </w:rPr>
            </w:pPr>
            <w:r>
              <w:rPr>
                <w:sz w:val="24"/>
                <w:szCs w:val="24"/>
              </w:rPr>
              <w:t>5</w:t>
            </w:r>
          </w:p>
        </w:tc>
        <w:tc>
          <w:tcPr>
            <w:tcW w:w="1011" w:type="dxa"/>
            <w:vAlign w:val="center"/>
          </w:tcPr>
          <w:p>
            <w:pPr>
              <w:snapToGrid w:val="0"/>
              <w:jc w:val="center"/>
              <w:rPr>
                <w:sz w:val="24"/>
                <w:szCs w:val="24"/>
              </w:rPr>
            </w:pPr>
            <w:r>
              <w:rPr>
                <w:sz w:val="24"/>
                <w:szCs w:val="24"/>
              </w:rPr>
              <w:t>18</w:t>
            </w:r>
          </w:p>
        </w:tc>
        <w:tc>
          <w:tcPr>
            <w:tcW w:w="1008" w:type="dxa"/>
            <w:vAlign w:val="center"/>
          </w:tcPr>
          <w:p>
            <w:pPr>
              <w:snapToGrid w:val="0"/>
              <w:jc w:val="center"/>
              <w:rPr>
                <w:sz w:val="24"/>
                <w:szCs w:val="24"/>
              </w:rPr>
            </w:pPr>
            <w:r>
              <w:rPr>
                <w:sz w:val="24"/>
                <w:szCs w:val="24"/>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巴南区</w:t>
            </w:r>
          </w:p>
        </w:tc>
        <w:tc>
          <w:tcPr>
            <w:tcW w:w="1170" w:type="dxa"/>
            <w:vAlign w:val="center"/>
          </w:tcPr>
          <w:p>
            <w:pPr>
              <w:snapToGrid w:val="0"/>
              <w:jc w:val="center"/>
              <w:rPr>
                <w:sz w:val="24"/>
                <w:szCs w:val="24"/>
              </w:rPr>
            </w:pPr>
            <w:r>
              <w:rPr>
                <w:sz w:val="24"/>
                <w:szCs w:val="24"/>
              </w:rPr>
              <w:t>51</w:t>
            </w:r>
          </w:p>
        </w:tc>
        <w:tc>
          <w:tcPr>
            <w:tcW w:w="1009" w:type="dxa"/>
            <w:vAlign w:val="center"/>
          </w:tcPr>
          <w:p>
            <w:pPr>
              <w:snapToGrid w:val="0"/>
              <w:jc w:val="center"/>
              <w:rPr>
                <w:sz w:val="24"/>
                <w:szCs w:val="24"/>
              </w:rPr>
            </w:pPr>
            <w:r>
              <w:rPr>
                <w:sz w:val="24"/>
                <w:szCs w:val="24"/>
              </w:rPr>
              <w:t>0</w:t>
            </w:r>
          </w:p>
        </w:tc>
        <w:tc>
          <w:tcPr>
            <w:tcW w:w="868" w:type="dxa"/>
            <w:vAlign w:val="center"/>
          </w:tcPr>
          <w:p>
            <w:pPr>
              <w:snapToGrid w:val="0"/>
              <w:jc w:val="center"/>
              <w:rPr>
                <w:sz w:val="24"/>
                <w:szCs w:val="24"/>
              </w:rPr>
            </w:pPr>
            <w:r>
              <w:rPr>
                <w:sz w:val="24"/>
                <w:szCs w:val="24"/>
              </w:rPr>
              <w:t>11</w:t>
            </w:r>
          </w:p>
        </w:tc>
        <w:tc>
          <w:tcPr>
            <w:tcW w:w="823" w:type="dxa"/>
            <w:vAlign w:val="center"/>
          </w:tcPr>
          <w:p>
            <w:pPr>
              <w:snapToGrid w:val="0"/>
              <w:jc w:val="center"/>
              <w:rPr>
                <w:sz w:val="24"/>
                <w:szCs w:val="24"/>
              </w:rPr>
            </w:pPr>
            <w:r>
              <w:rPr>
                <w:sz w:val="24"/>
                <w:szCs w:val="24"/>
              </w:rPr>
              <w:t>0</w:t>
            </w:r>
          </w:p>
        </w:tc>
        <w:tc>
          <w:tcPr>
            <w:tcW w:w="947" w:type="dxa"/>
            <w:vAlign w:val="center"/>
          </w:tcPr>
          <w:p>
            <w:pPr>
              <w:snapToGrid w:val="0"/>
              <w:jc w:val="center"/>
              <w:rPr>
                <w:sz w:val="24"/>
                <w:szCs w:val="24"/>
              </w:rPr>
            </w:pPr>
            <w:r>
              <w:rPr>
                <w:sz w:val="24"/>
                <w:szCs w:val="24"/>
              </w:rPr>
              <w:t>6</w:t>
            </w:r>
          </w:p>
        </w:tc>
        <w:tc>
          <w:tcPr>
            <w:tcW w:w="957" w:type="dxa"/>
            <w:vAlign w:val="center"/>
          </w:tcPr>
          <w:p>
            <w:pPr>
              <w:snapToGrid w:val="0"/>
              <w:jc w:val="center"/>
              <w:rPr>
                <w:sz w:val="24"/>
                <w:szCs w:val="24"/>
              </w:rPr>
            </w:pPr>
            <w:r>
              <w:rPr>
                <w:sz w:val="24"/>
                <w:szCs w:val="24"/>
              </w:rPr>
              <w:t>19</w:t>
            </w:r>
          </w:p>
        </w:tc>
        <w:tc>
          <w:tcPr>
            <w:tcW w:w="1011" w:type="dxa"/>
            <w:vAlign w:val="center"/>
          </w:tcPr>
          <w:p>
            <w:pPr>
              <w:snapToGrid w:val="0"/>
              <w:jc w:val="center"/>
              <w:rPr>
                <w:sz w:val="24"/>
                <w:szCs w:val="24"/>
              </w:rPr>
            </w:pPr>
            <w:r>
              <w:rPr>
                <w:sz w:val="24"/>
                <w:szCs w:val="24"/>
              </w:rPr>
              <w:t>36</w:t>
            </w:r>
          </w:p>
        </w:tc>
        <w:tc>
          <w:tcPr>
            <w:tcW w:w="1008" w:type="dxa"/>
            <w:vAlign w:val="center"/>
          </w:tcPr>
          <w:p>
            <w:pPr>
              <w:snapToGrid w:val="0"/>
              <w:jc w:val="center"/>
              <w:rPr>
                <w:sz w:val="24"/>
                <w:szCs w:val="24"/>
              </w:rPr>
            </w:pPr>
            <w:r>
              <w:rPr>
                <w:sz w:val="24"/>
                <w:szCs w:val="24"/>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沙坪坝区</w:t>
            </w:r>
          </w:p>
        </w:tc>
        <w:tc>
          <w:tcPr>
            <w:tcW w:w="1170" w:type="dxa"/>
            <w:vAlign w:val="center"/>
          </w:tcPr>
          <w:p>
            <w:pPr>
              <w:snapToGrid w:val="0"/>
              <w:jc w:val="center"/>
              <w:rPr>
                <w:sz w:val="24"/>
                <w:szCs w:val="24"/>
              </w:rPr>
            </w:pPr>
            <w:r>
              <w:rPr>
                <w:sz w:val="24"/>
                <w:szCs w:val="24"/>
              </w:rPr>
              <w:t>32</w:t>
            </w:r>
          </w:p>
        </w:tc>
        <w:tc>
          <w:tcPr>
            <w:tcW w:w="1009" w:type="dxa"/>
            <w:vAlign w:val="center"/>
          </w:tcPr>
          <w:p>
            <w:pPr>
              <w:snapToGrid w:val="0"/>
              <w:jc w:val="center"/>
              <w:rPr>
                <w:sz w:val="24"/>
                <w:szCs w:val="24"/>
              </w:rPr>
            </w:pPr>
            <w:r>
              <w:rPr>
                <w:sz w:val="24"/>
                <w:szCs w:val="24"/>
              </w:rPr>
              <w:t>0</w:t>
            </w:r>
          </w:p>
        </w:tc>
        <w:tc>
          <w:tcPr>
            <w:tcW w:w="868" w:type="dxa"/>
            <w:vAlign w:val="center"/>
          </w:tcPr>
          <w:p>
            <w:pPr>
              <w:snapToGrid w:val="0"/>
              <w:jc w:val="center"/>
              <w:rPr>
                <w:sz w:val="24"/>
                <w:szCs w:val="24"/>
              </w:rPr>
            </w:pPr>
            <w:r>
              <w:rPr>
                <w:sz w:val="24"/>
                <w:szCs w:val="24"/>
              </w:rPr>
              <w:t>3</w:t>
            </w:r>
          </w:p>
        </w:tc>
        <w:tc>
          <w:tcPr>
            <w:tcW w:w="823" w:type="dxa"/>
            <w:vAlign w:val="center"/>
          </w:tcPr>
          <w:p>
            <w:pPr>
              <w:snapToGrid w:val="0"/>
              <w:jc w:val="center"/>
              <w:rPr>
                <w:sz w:val="24"/>
                <w:szCs w:val="24"/>
              </w:rPr>
            </w:pPr>
            <w:r>
              <w:rPr>
                <w:sz w:val="24"/>
                <w:szCs w:val="24"/>
              </w:rPr>
              <w:t>0</w:t>
            </w:r>
          </w:p>
        </w:tc>
        <w:tc>
          <w:tcPr>
            <w:tcW w:w="947" w:type="dxa"/>
            <w:vAlign w:val="center"/>
          </w:tcPr>
          <w:p>
            <w:pPr>
              <w:snapToGrid w:val="0"/>
              <w:jc w:val="center"/>
              <w:rPr>
                <w:sz w:val="24"/>
                <w:szCs w:val="24"/>
              </w:rPr>
            </w:pPr>
            <w:r>
              <w:rPr>
                <w:sz w:val="24"/>
                <w:szCs w:val="24"/>
              </w:rPr>
              <w:t>3</w:t>
            </w:r>
          </w:p>
        </w:tc>
        <w:tc>
          <w:tcPr>
            <w:tcW w:w="957" w:type="dxa"/>
            <w:vAlign w:val="center"/>
          </w:tcPr>
          <w:p>
            <w:pPr>
              <w:snapToGrid w:val="0"/>
              <w:jc w:val="center"/>
              <w:rPr>
                <w:sz w:val="24"/>
                <w:szCs w:val="24"/>
              </w:rPr>
            </w:pPr>
            <w:r>
              <w:rPr>
                <w:sz w:val="24"/>
                <w:szCs w:val="24"/>
              </w:rPr>
              <w:t>5</w:t>
            </w:r>
          </w:p>
        </w:tc>
        <w:tc>
          <w:tcPr>
            <w:tcW w:w="1011" w:type="dxa"/>
            <w:vAlign w:val="center"/>
          </w:tcPr>
          <w:p>
            <w:pPr>
              <w:snapToGrid w:val="0"/>
              <w:jc w:val="center"/>
              <w:rPr>
                <w:sz w:val="24"/>
                <w:szCs w:val="24"/>
              </w:rPr>
            </w:pPr>
            <w:r>
              <w:rPr>
                <w:sz w:val="24"/>
                <w:szCs w:val="24"/>
              </w:rPr>
              <w:t>11</w:t>
            </w:r>
          </w:p>
        </w:tc>
        <w:tc>
          <w:tcPr>
            <w:tcW w:w="1008" w:type="dxa"/>
            <w:vAlign w:val="center"/>
          </w:tcPr>
          <w:p>
            <w:pPr>
              <w:snapToGrid w:val="0"/>
              <w:jc w:val="center"/>
              <w:rPr>
                <w:sz w:val="24"/>
                <w:szCs w:val="24"/>
              </w:rPr>
            </w:pPr>
            <w:r>
              <w:rPr>
                <w:sz w:val="24"/>
                <w:szCs w:val="24"/>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渝中区</w:t>
            </w:r>
          </w:p>
        </w:tc>
        <w:tc>
          <w:tcPr>
            <w:tcW w:w="1170" w:type="dxa"/>
            <w:vAlign w:val="center"/>
          </w:tcPr>
          <w:p>
            <w:pPr>
              <w:snapToGrid w:val="0"/>
              <w:jc w:val="center"/>
              <w:rPr>
                <w:sz w:val="24"/>
                <w:szCs w:val="24"/>
              </w:rPr>
            </w:pPr>
            <w:r>
              <w:rPr>
                <w:sz w:val="24"/>
                <w:szCs w:val="24"/>
              </w:rPr>
              <w:t>16</w:t>
            </w:r>
          </w:p>
        </w:tc>
        <w:tc>
          <w:tcPr>
            <w:tcW w:w="1009" w:type="dxa"/>
            <w:vAlign w:val="center"/>
          </w:tcPr>
          <w:p>
            <w:pPr>
              <w:snapToGrid w:val="0"/>
              <w:jc w:val="center"/>
              <w:rPr>
                <w:sz w:val="24"/>
                <w:szCs w:val="24"/>
              </w:rPr>
            </w:pPr>
            <w:r>
              <w:rPr>
                <w:sz w:val="24"/>
                <w:szCs w:val="24"/>
              </w:rPr>
              <w:t>0</w:t>
            </w:r>
          </w:p>
        </w:tc>
        <w:tc>
          <w:tcPr>
            <w:tcW w:w="868" w:type="dxa"/>
            <w:vAlign w:val="center"/>
          </w:tcPr>
          <w:p>
            <w:pPr>
              <w:snapToGrid w:val="0"/>
              <w:jc w:val="center"/>
              <w:rPr>
                <w:sz w:val="24"/>
                <w:szCs w:val="24"/>
              </w:rPr>
            </w:pPr>
            <w:r>
              <w:rPr>
                <w:sz w:val="24"/>
                <w:szCs w:val="24"/>
              </w:rPr>
              <w:t>2</w:t>
            </w:r>
          </w:p>
        </w:tc>
        <w:tc>
          <w:tcPr>
            <w:tcW w:w="823" w:type="dxa"/>
            <w:vAlign w:val="center"/>
          </w:tcPr>
          <w:p>
            <w:pPr>
              <w:snapToGrid w:val="0"/>
              <w:jc w:val="center"/>
              <w:rPr>
                <w:sz w:val="24"/>
                <w:szCs w:val="24"/>
              </w:rPr>
            </w:pPr>
            <w:r>
              <w:rPr>
                <w:sz w:val="24"/>
                <w:szCs w:val="24"/>
              </w:rPr>
              <w:t>0</w:t>
            </w:r>
          </w:p>
        </w:tc>
        <w:tc>
          <w:tcPr>
            <w:tcW w:w="947" w:type="dxa"/>
            <w:vAlign w:val="center"/>
          </w:tcPr>
          <w:p>
            <w:pPr>
              <w:snapToGrid w:val="0"/>
              <w:jc w:val="center"/>
              <w:rPr>
                <w:sz w:val="24"/>
                <w:szCs w:val="24"/>
              </w:rPr>
            </w:pPr>
            <w:r>
              <w:rPr>
                <w:sz w:val="24"/>
                <w:szCs w:val="24"/>
              </w:rPr>
              <w:t>0</w:t>
            </w:r>
          </w:p>
        </w:tc>
        <w:tc>
          <w:tcPr>
            <w:tcW w:w="957" w:type="dxa"/>
            <w:vAlign w:val="center"/>
          </w:tcPr>
          <w:p>
            <w:pPr>
              <w:snapToGrid w:val="0"/>
              <w:jc w:val="center"/>
              <w:rPr>
                <w:sz w:val="24"/>
                <w:szCs w:val="24"/>
              </w:rPr>
            </w:pPr>
            <w:r>
              <w:rPr>
                <w:sz w:val="24"/>
                <w:szCs w:val="24"/>
              </w:rPr>
              <w:t>0</w:t>
            </w:r>
          </w:p>
        </w:tc>
        <w:tc>
          <w:tcPr>
            <w:tcW w:w="1011" w:type="dxa"/>
            <w:vAlign w:val="center"/>
          </w:tcPr>
          <w:p>
            <w:pPr>
              <w:snapToGrid w:val="0"/>
              <w:jc w:val="center"/>
              <w:rPr>
                <w:sz w:val="24"/>
                <w:szCs w:val="24"/>
              </w:rPr>
            </w:pPr>
            <w:r>
              <w:rPr>
                <w:sz w:val="24"/>
                <w:szCs w:val="24"/>
              </w:rPr>
              <w:t>2</w:t>
            </w:r>
          </w:p>
        </w:tc>
        <w:tc>
          <w:tcPr>
            <w:tcW w:w="1008" w:type="dxa"/>
            <w:vAlign w:val="center"/>
          </w:tcPr>
          <w:p>
            <w:pPr>
              <w:snapToGrid w:val="0"/>
              <w:jc w:val="center"/>
              <w:rPr>
                <w:sz w:val="24"/>
                <w:szCs w:val="24"/>
              </w:rPr>
            </w:pPr>
            <w:r>
              <w:rPr>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九龙坡区</w:t>
            </w:r>
          </w:p>
        </w:tc>
        <w:tc>
          <w:tcPr>
            <w:tcW w:w="1170" w:type="dxa"/>
            <w:vAlign w:val="center"/>
          </w:tcPr>
          <w:p>
            <w:pPr>
              <w:snapToGrid w:val="0"/>
              <w:jc w:val="center"/>
              <w:rPr>
                <w:sz w:val="24"/>
                <w:szCs w:val="24"/>
              </w:rPr>
            </w:pPr>
            <w:r>
              <w:rPr>
                <w:sz w:val="24"/>
                <w:szCs w:val="24"/>
              </w:rPr>
              <w:t>56</w:t>
            </w:r>
          </w:p>
        </w:tc>
        <w:tc>
          <w:tcPr>
            <w:tcW w:w="1009" w:type="dxa"/>
            <w:vAlign w:val="center"/>
          </w:tcPr>
          <w:p>
            <w:pPr>
              <w:snapToGrid w:val="0"/>
              <w:jc w:val="center"/>
              <w:rPr>
                <w:sz w:val="24"/>
                <w:szCs w:val="24"/>
              </w:rPr>
            </w:pPr>
            <w:r>
              <w:rPr>
                <w:sz w:val="24"/>
                <w:szCs w:val="24"/>
              </w:rPr>
              <w:t>0</w:t>
            </w:r>
          </w:p>
        </w:tc>
        <w:tc>
          <w:tcPr>
            <w:tcW w:w="868" w:type="dxa"/>
            <w:vAlign w:val="center"/>
          </w:tcPr>
          <w:p>
            <w:pPr>
              <w:snapToGrid w:val="0"/>
              <w:jc w:val="center"/>
              <w:rPr>
                <w:sz w:val="24"/>
                <w:szCs w:val="24"/>
              </w:rPr>
            </w:pPr>
            <w:r>
              <w:rPr>
                <w:sz w:val="24"/>
                <w:szCs w:val="24"/>
              </w:rPr>
              <w:t>2</w:t>
            </w:r>
          </w:p>
        </w:tc>
        <w:tc>
          <w:tcPr>
            <w:tcW w:w="823" w:type="dxa"/>
            <w:vAlign w:val="center"/>
          </w:tcPr>
          <w:p>
            <w:pPr>
              <w:snapToGrid w:val="0"/>
              <w:jc w:val="center"/>
              <w:rPr>
                <w:sz w:val="24"/>
                <w:szCs w:val="24"/>
              </w:rPr>
            </w:pPr>
            <w:r>
              <w:rPr>
                <w:sz w:val="24"/>
                <w:szCs w:val="24"/>
              </w:rPr>
              <w:t>0</w:t>
            </w:r>
          </w:p>
        </w:tc>
        <w:tc>
          <w:tcPr>
            <w:tcW w:w="947" w:type="dxa"/>
            <w:vAlign w:val="center"/>
          </w:tcPr>
          <w:p>
            <w:pPr>
              <w:snapToGrid w:val="0"/>
              <w:jc w:val="center"/>
              <w:rPr>
                <w:sz w:val="24"/>
                <w:szCs w:val="24"/>
              </w:rPr>
            </w:pPr>
            <w:r>
              <w:rPr>
                <w:sz w:val="24"/>
                <w:szCs w:val="24"/>
              </w:rPr>
              <w:t>8</w:t>
            </w:r>
          </w:p>
        </w:tc>
        <w:tc>
          <w:tcPr>
            <w:tcW w:w="957" w:type="dxa"/>
            <w:vAlign w:val="center"/>
          </w:tcPr>
          <w:p>
            <w:pPr>
              <w:snapToGrid w:val="0"/>
              <w:jc w:val="center"/>
              <w:rPr>
                <w:sz w:val="24"/>
                <w:szCs w:val="24"/>
              </w:rPr>
            </w:pPr>
            <w:r>
              <w:rPr>
                <w:sz w:val="24"/>
                <w:szCs w:val="24"/>
              </w:rPr>
              <w:t>5</w:t>
            </w:r>
          </w:p>
        </w:tc>
        <w:tc>
          <w:tcPr>
            <w:tcW w:w="1011" w:type="dxa"/>
            <w:vAlign w:val="center"/>
          </w:tcPr>
          <w:p>
            <w:pPr>
              <w:snapToGrid w:val="0"/>
              <w:jc w:val="center"/>
              <w:rPr>
                <w:sz w:val="24"/>
                <w:szCs w:val="24"/>
              </w:rPr>
            </w:pPr>
            <w:r>
              <w:rPr>
                <w:sz w:val="24"/>
                <w:szCs w:val="24"/>
              </w:rPr>
              <w:t>15</w:t>
            </w:r>
          </w:p>
        </w:tc>
        <w:tc>
          <w:tcPr>
            <w:tcW w:w="1008" w:type="dxa"/>
            <w:vAlign w:val="center"/>
          </w:tcPr>
          <w:p>
            <w:pPr>
              <w:snapToGrid w:val="0"/>
              <w:jc w:val="center"/>
              <w:rPr>
                <w:sz w:val="24"/>
                <w:szCs w:val="24"/>
              </w:rPr>
            </w:pPr>
            <w:r>
              <w:rPr>
                <w:sz w:val="24"/>
                <w:szCs w:val="24"/>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高新区</w:t>
            </w:r>
          </w:p>
        </w:tc>
        <w:tc>
          <w:tcPr>
            <w:tcW w:w="1170" w:type="dxa"/>
            <w:vAlign w:val="center"/>
          </w:tcPr>
          <w:p>
            <w:pPr>
              <w:snapToGrid w:val="0"/>
              <w:jc w:val="center"/>
              <w:rPr>
                <w:sz w:val="24"/>
                <w:szCs w:val="24"/>
              </w:rPr>
            </w:pPr>
            <w:r>
              <w:rPr>
                <w:sz w:val="24"/>
                <w:szCs w:val="24"/>
              </w:rPr>
              <w:t>25</w:t>
            </w:r>
          </w:p>
        </w:tc>
        <w:tc>
          <w:tcPr>
            <w:tcW w:w="1009" w:type="dxa"/>
            <w:vAlign w:val="center"/>
          </w:tcPr>
          <w:p>
            <w:pPr>
              <w:snapToGrid w:val="0"/>
              <w:jc w:val="center"/>
              <w:rPr>
                <w:sz w:val="24"/>
                <w:szCs w:val="24"/>
              </w:rPr>
            </w:pPr>
            <w:r>
              <w:rPr>
                <w:sz w:val="24"/>
                <w:szCs w:val="24"/>
              </w:rPr>
              <w:t>10</w:t>
            </w:r>
          </w:p>
        </w:tc>
        <w:tc>
          <w:tcPr>
            <w:tcW w:w="868" w:type="dxa"/>
            <w:vAlign w:val="center"/>
          </w:tcPr>
          <w:p>
            <w:pPr>
              <w:snapToGrid w:val="0"/>
              <w:jc w:val="center"/>
              <w:rPr>
                <w:sz w:val="24"/>
                <w:szCs w:val="24"/>
              </w:rPr>
            </w:pPr>
            <w:r>
              <w:rPr>
                <w:sz w:val="24"/>
                <w:szCs w:val="24"/>
              </w:rPr>
              <w:t>2</w:t>
            </w:r>
          </w:p>
        </w:tc>
        <w:tc>
          <w:tcPr>
            <w:tcW w:w="823" w:type="dxa"/>
            <w:vAlign w:val="center"/>
          </w:tcPr>
          <w:p>
            <w:pPr>
              <w:snapToGrid w:val="0"/>
              <w:jc w:val="center"/>
              <w:rPr>
                <w:sz w:val="24"/>
                <w:szCs w:val="24"/>
              </w:rPr>
            </w:pPr>
            <w:r>
              <w:rPr>
                <w:sz w:val="24"/>
                <w:szCs w:val="24"/>
              </w:rPr>
              <w:t>0</w:t>
            </w:r>
          </w:p>
        </w:tc>
        <w:tc>
          <w:tcPr>
            <w:tcW w:w="947" w:type="dxa"/>
            <w:vAlign w:val="center"/>
          </w:tcPr>
          <w:p>
            <w:pPr>
              <w:snapToGrid w:val="0"/>
              <w:jc w:val="center"/>
              <w:rPr>
                <w:sz w:val="24"/>
                <w:szCs w:val="24"/>
              </w:rPr>
            </w:pPr>
            <w:r>
              <w:rPr>
                <w:sz w:val="24"/>
                <w:szCs w:val="24"/>
              </w:rPr>
              <w:t>6</w:t>
            </w:r>
          </w:p>
        </w:tc>
        <w:tc>
          <w:tcPr>
            <w:tcW w:w="957" w:type="dxa"/>
            <w:vAlign w:val="center"/>
          </w:tcPr>
          <w:p>
            <w:pPr>
              <w:snapToGrid w:val="0"/>
              <w:jc w:val="center"/>
              <w:rPr>
                <w:sz w:val="24"/>
                <w:szCs w:val="24"/>
              </w:rPr>
            </w:pPr>
            <w:r>
              <w:rPr>
                <w:sz w:val="24"/>
                <w:szCs w:val="24"/>
              </w:rPr>
              <w:t>0</w:t>
            </w:r>
          </w:p>
        </w:tc>
        <w:tc>
          <w:tcPr>
            <w:tcW w:w="1011" w:type="dxa"/>
            <w:vAlign w:val="center"/>
          </w:tcPr>
          <w:p>
            <w:pPr>
              <w:snapToGrid w:val="0"/>
              <w:jc w:val="center"/>
              <w:rPr>
                <w:sz w:val="24"/>
                <w:szCs w:val="24"/>
              </w:rPr>
            </w:pPr>
            <w:r>
              <w:rPr>
                <w:sz w:val="24"/>
                <w:szCs w:val="24"/>
              </w:rPr>
              <w:t>18</w:t>
            </w:r>
          </w:p>
        </w:tc>
        <w:tc>
          <w:tcPr>
            <w:tcW w:w="1008" w:type="dxa"/>
            <w:vAlign w:val="center"/>
          </w:tcPr>
          <w:p>
            <w:pPr>
              <w:snapToGrid w:val="0"/>
              <w:jc w:val="center"/>
              <w:rPr>
                <w:sz w:val="24"/>
                <w:szCs w:val="24"/>
              </w:rPr>
            </w:pPr>
            <w:r>
              <w:rPr>
                <w:sz w:val="24"/>
                <w:szCs w:val="24"/>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江北区</w:t>
            </w:r>
          </w:p>
        </w:tc>
        <w:tc>
          <w:tcPr>
            <w:tcW w:w="1170" w:type="dxa"/>
            <w:vAlign w:val="center"/>
          </w:tcPr>
          <w:p>
            <w:pPr>
              <w:snapToGrid w:val="0"/>
              <w:jc w:val="center"/>
              <w:rPr>
                <w:sz w:val="24"/>
                <w:szCs w:val="24"/>
              </w:rPr>
            </w:pPr>
            <w:r>
              <w:rPr>
                <w:sz w:val="24"/>
                <w:szCs w:val="24"/>
              </w:rPr>
              <w:t>30</w:t>
            </w:r>
          </w:p>
        </w:tc>
        <w:tc>
          <w:tcPr>
            <w:tcW w:w="1009" w:type="dxa"/>
            <w:vAlign w:val="center"/>
          </w:tcPr>
          <w:p>
            <w:pPr>
              <w:snapToGrid w:val="0"/>
              <w:jc w:val="center"/>
              <w:rPr>
                <w:sz w:val="24"/>
                <w:szCs w:val="24"/>
              </w:rPr>
            </w:pPr>
            <w:r>
              <w:rPr>
                <w:sz w:val="24"/>
                <w:szCs w:val="24"/>
              </w:rPr>
              <w:t>0</w:t>
            </w:r>
          </w:p>
        </w:tc>
        <w:tc>
          <w:tcPr>
            <w:tcW w:w="868" w:type="dxa"/>
            <w:vAlign w:val="center"/>
          </w:tcPr>
          <w:p>
            <w:pPr>
              <w:snapToGrid w:val="0"/>
              <w:jc w:val="center"/>
              <w:rPr>
                <w:sz w:val="24"/>
                <w:szCs w:val="24"/>
              </w:rPr>
            </w:pPr>
            <w:r>
              <w:rPr>
                <w:sz w:val="24"/>
                <w:szCs w:val="24"/>
              </w:rPr>
              <w:t>2</w:t>
            </w:r>
          </w:p>
        </w:tc>
        <w:tc>
          <w:tcPr>
            <w:tcW w:w="823" w:type="dxa"/>
            <w:vAlign w:val="center"/>
          </w:tcPr>
          <w:p>
            <w:pPr>
              <w:snapToGrid w:val="0"/>
              <w:jc w:val="center"/>
              <w:rPr>
                <w:sz w:val="24"/>
                <w:szCs w:val="24"/>
              </w:rPr>
            </w:pPr>
            <w:r>
              <w:rPr>
                <w:sz w:val="24"/>
                <w:szCs w:val="24"/>
              </w:rPr>
              <w:t>1</w:t>
            </w:r>
          </w:p>
        </w:tc>
        <w:tc>
          <w:tcPr>
            <w:tcW w:w="947" w:type="dxa"/>
            <w:vAlign w:val="center"/>
          </w:tcPr>
          <w:p>
            <w:pPr>
              <w:snapToGrid w:val="0"/>
              <w:jc w:val="center"/>
              <w:rPr>
                <w:sz w:val="24"/>
                <w:szCs w:val="24"/>
              </w:rPr>
            </w:pPr>
            <w:r>
              <w:rPr>
                <w:sz w:val="24"/>
                <w:szCs w:val="24"/>
              </w:rPr>
              <w:t>0</w:t>
            </w:r>
          </w:p>
        </w:tc>
        <w:tc>
          <w:tcPr>
            <w:tcW w:w="957" w:type="dxa"/>
            <w:vAlign w:val="center"/>
          </w:tcPr>
          <w:p>
            <w:pPr>
              <w:snapToGrid w:val="0"/>
              <w:jc w:val="center"/>
              <w:rPr>
                <w:sz w:val="24"/>
                <w:szCs w:val="24"/>
              </w:rPr>
            </w:pPr>
            <w:r>
              <w:rPr>
                <w:sz w:val="24"/>
                <w:szCs w:val="24"/>
              </w:rPr>
              <w:t>7</w:t>
            </w:r>
          </w:p>
        </w:tc>
        <w:tc>
          <w:tcPr>
            <w:tcW w:w="1011" w:type="dxa"/>
            <w:vAlign w:val="center"/>
          </w:tcPr>
          <w:p>
            <w:pPr>
              <w:snapToGrid w:val="0"/>
              <w:jc w:val="center"/>
              <w:rPr>
                <w:sz w:val="24"/>
                <w:szCs w:val="24"/>
              </w:rPr>
            </w:pPr>
            <w:r>
              <w:rPr>
                <w:sz w:val="24"/>
                <w:szCs w:val="24"/>
              </w:rPr>
              <w:t>10</w:t>
            </w:r>
          </w:p>
        </w:tc>
        <w:tc>
          <w:tcPr>
            <w:tcW w:w="1008" w:type="dxa"/>
            <w:vAlign w:val="center"/>
          </w:tcPr>
          <w:p>
            <w:pPr>
              <w:snapToGrid w:val="0"/>
              <w:jc w:val="center"/>
              <w:rPr>
                <w:sz w:val="24"/>
                <w:szCs w:val="24"/>
              </w:rPr>
            </w:pPr>
            <w:r>
              <w:rPr>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渝北区</w:t>
            </w:r>
          </w:p>
        </w:tc>
        <w:tc>
          <w:tcPr>
            <w:tcW w:w="1170" w:type="dxa"/>
            <w:vAlign w:val="center"/>
          </w:tcPr>
          <w:p>
            <w:pPr>
              <w:snapToGrid w:val="0"/>
              <w:jc w:val="center"/>
              <w:rPr>
                <w:sz w:val="24"/>
                <w:szCs w:val="24"/>
              </w:rPr>
            </w:pPr>
            <w:r>
              <w:rPr>
                <w:sz w:val="24"/>
                <w:szCs w:val="24"/>
              </w:rPr>
              <w:t>42</w:t>
            </w:r>
          </w:p>
        </w:tc>
        <w:tc>
          <w:tcPr>
            <w:tcW w:w="1009" w:type="dxa"/>
            <w:vAlign w:val="center"/>
          </w:tcPr>
          <w:p>
            <w:pPr>
              <w:snapToGrid w:val="0"/>
              <w:jc w:val="center"/>
              <w:rPr>
                <w:sz w:val="24"/>
                <w:szCs w:val="24"/>
              </w:rPr>
            </w:pPr>
            <w:r>
              <w:rPr>
                <w:sz w:val="24"/>
                <w:szCs w:val="24"/>
              </w:rPr>
              <w:t>0</w:t>
            </w:r>
          </w:p>
        </w:tc>
        <w:tc>
          <w:tcPr>
            <w:tcW w:w="868" w:type="dxa"/>
            <w:vAlign w:val="center"/>
          </w:tcPr>
          <w:p>
            <w:pPr>
              <w:snapToGrid w:val="0"/>
              <w:jc w:val="center"/>
              <w:rPr>
                <w:sz w:val="24"/>
                <w:szCs w:val="24"/>
              </w:rPr>
            </w:pPr>
            <w:r>
              <w:rPr>
                <w:sz w:val="24"/>
                <w:szCs w:val="24"/>
              </w:rPr>
              <w:t>2</w:t>
            </w:r>
          </w:p>
        </w:tc>
        <w:tc>
          <w:tcPr>
            <w:tcW w:w="823" w:type="dxa"/>
            <w:vAlign w:val="center"/>
          </w:tcPr>
          <w:p>
            <w:pPr>
              <w:snapToGrid w:val="0"/>
              <w:jc w:val="center"/>
              <w:rPr>
                <w:sz w:val="24"/>
                <w:szCs w:val="24"/>
              </w:rPr>
            </w:pPr>
            <w:r>
              <w:rPr>
                <w:sz w:val="24"/>
                <w:szCs w:val="24"/>
              </w:rPr>
              <w:t>0</w:t>
            </w:r>
          </w:p>
        </w:tc>
        <w:tc>
          <w:tcPr>
            <w:tcW w:w="947" w:type="dxa"/>
            <w:vAlign w:val="center"/>
          </w:tcPr>
          <w:p>
            <w:pPr>
              <w:snapToGrid w:val="0"/>
              <w:jc w:val="center"/>
              <w:rPr>
                <w:sz w:val="24"/>
                <w:szCs w:val="24"/>
              </w:rPr>
            </w:pPr>
            <w:r>
              <w:rPr>
                <w:sz w:val="24"/>
                <w:szCs w:val="24"/>
              </w:rPr>
              <w:t>6</w:t>
            </w:r>
          </w:p>
        </w:tc>
        <w:tc>
          <w:tcPr>
            <w:tcW w:w="957" w:type="dxa"/>
            <w:vAlign w:val="center"/>
          </w:tcPr>
          <w:p>
            <w:pPr>
              <w:snapToGrid w:val="0"/>
              <w:jc w:val="center"/>
              <w:rPr>
                <w:sz w:val="24"/>
                <w:szCs w:val="24"/>
              </w:rPr>
            </w:pPr>
            <w:r>
              <w:rPr>
                <w:sz w:val="24"/>
                <w:szCs w:val="24"/>
              </w:rPr>
              <w:t>7</w:t>
            </w:r>
          </w:p>
        </w:tc>
        <w:tc>
          <w:tcPr>
            <w:tcW w:w="1011" w:type="dxa"/>
            <w:vAlign w:val="center"/>
          </w:tcPr>
          <w:p>
            <w:pPr>
              <w:snapToGrid w:val="0"/>
              <w:jc w:val="center"/>
              <w:rPr>
                <w:sz w:val="24"/>
                <w:szCs w:val="24"/>
              </w:rPr>
            </w:pPr>
            <w:r>
              <w:rPr>
                <w:sz w:val="24"/>
                <w:szCs w:val="24"/>
              </w:rPr>
              <w:t>15</w:t>
            </w:r>
          </w:p>
        </w:tc>
        <w:tc>
          <w:tcPr>
            <w:tcW w:w="1008" w:type="dxa"/>
            <w:vAlign w:val="center"/>
          </w:tcPr>
          <w:p>
            <w:pPr>
              <w:snapToGrid w:val="0"/>
              <w:jc w:val="center"/>
              <w:rPr>
                <w:sz w:val="24"/>
                <w:szCs w:val="24"/>
              </w:rPr>
            </w:pPr>
            <w:r>
              <w:rPr>
                <w:sz w:val="24"/>
                <w:szCs w:val="24"/>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1241" w:type="dxa"/>
            <w:vAlign w:val="center"/>
          </w:tcPr>
          <w:p>
            <w:pPr>
              <w:snapToGrid w:val="0"/>
              <w:jc w:val="center"/>
              <w:rPr>
                <w:sz w:val="24"/>
                <w:szCs w:val="24"/>
              </w:rPr>
            </w:pPr>
            <w:r>
              <w:rPr>
                <w:sz w:val="24"/>
                <w:szCs w:val="24"/>
              </w:rPr>
              <w:t>两江新区</w:t>
            </w:r>
          </w:p>
        </w:tc>
        <w:tc>
          <w:tcPr>
            <w:tcW w:w="1170" w:type="dxa"/>
            <w:vAlign w:val="center"/>
          </w:tcPr>
          <w:p>
            <w:pPr>
              <w:snapToGrid w:val="0"/>
              <w:jc w:val="center"/>
              <w:rPr>
                <w:sz w:val="24"/>
                <w:szCs w:val="24"/>
              </w:rPr>
            </w:pPr>
            <w:r>
              <w:rPr>
                <w:sz w:val="24"/>
                <w:szCs w:val="24"/>
              </w:rPr>
              <w:t>46</w:t>
            </w:r>
          </w:p>
        </w:tc>
        <w:tc>
          <w:tcPr>
            <w:tcW w:w="1009" w:type="dxa"/>
            <w:vAlign w:val="center"/>
          </w:tcPr>
          <w:p>
            <w:pPr>
              <w:snapToGrid w:val="0"/>
              <w:jc w:val="center"/>
              <w:rPr>
                <w:sz w:val="24"/>
                <w:szCs w:val="24"/>
              </w:rPr>
            </w:pPr>
            <w:r>
              <w:rPr>
                <w:sz w:val="24"/>
                <w:szCs w:val="24"/>
              </w:rPr>
              <w:t>3</w:t>
            </w:r>
          </w:p>
        </w:tc>
        <w:tc>
          <w:tcPr>
            <w:tcW w:w="868" w:type="dxa"/>
            <w:vAlign w:val="center"/>
          </w:tcPr>
          <w:p>
            <w:pPr>
              <w:snapToGrid w:val="0"/>
              <w:jc w:val="center"/>
              <w:rPr>
                <w:sz w:val="24"/>
                <w:szCs w:val="24"/>
              </w:rPr>
            </w:pPr>
            <w:r>
              <w:rPr>
                <w:sz w:val="24"/>
                <w:szCs w:val="24"/>
              </w:rPr>
              <w:t>1</w:t>
            </w:r>
          </w:p>
        </w:tc>
        <w:tc>
          <w:tcPr>
            <w:tcW w:w="823" w:type="dxa"/>
            <w:vAlign w:val="center"/>
          </w:tcPr>
          <w:p>
            <w:pPr>
              <w:snapToGrid w:val="0"/>
              <w:jc w:val="center"/>
              <w:rPr>
                <w:sz w:val="24"/>
                <w:szCs w:val="24"/>
              </w:rPr>
            </w:pPr>
            <w:r>
              <w:rPr>
                <w:sz w:val="24"/>
                <w:szCs w:val="24"/>
              </w:rPr>
              <w:t>0</w:t>
            </w:r>
          </w:p>
        </w:tc>
        <w:tc>
          <w:tcPr>
            <w:tcW w:w="947" w:type="dxa"/>
            <w:vAlign w:val="center"/>
          </w:tcPr>
          <w:p>
            <w:pPr>
              <w:snapToGrid w:val="0"/>
              <w:jc w:val="center"/>
              <w:rPr>
                <w:sz w:val="24"/>
                <w:szCs w:val="24"/>
              </w:rPr>
            </w:pPr>
            <w:r>
              <w:rPr>
                <w:sz w:val="24"/>
                <w:szCs w:val="24"/>
              </w:rPr>
              <w:t>13</w:t>
            </w:r>
          </w:p>
        </w:tc>
        <w:tc>
          <w:tcPr>
            <w:tcW w:w="957" w:type="dxa"/>
            <w:vAlign w:val="center"/>
          </w:tcPr>
          <w:p>
            <w:pPr>
              <w:snapToGrid w:val="0"/>
              <w:jc w:val="center"/>
              <w:rPr>
                <w:sz w:val="24"/>
                <w:szCs w:val="24"/>
              </w:rPr>
            </w:pPr>
            <w:r>
              <w:rPr>
                <w:sz w:val="24"/>
                <w:szCs w:val="24"/>
              </w:rPr>
              <w:t>25</w:t>
            </w:r>
          </w:p>
        </w:tc>
        <w:tc>
          <w:tcPr>
            <w:tcW w:w="1011" w:type="dxa"/>
            <w:vAlign w:val="center"/>
          </w:tcPr>
          <w:p>
            <w:pPr>
              <w:snapToGrid w:val="0"/>
              <w:jc w:val="center"/>
              <w:rPr>
                <w:sz w:val="24"/>
                <w:szCs w:val="24"/>
              </w:rPr>
            </w:pPr>
            <w:r>
              <w:rPr>
                <w:sz w:val="24"/>
                <w:szCs w:val="24"/>
              </w:rPr>
              <w:t>42</w:t>
            </w:r>
          </w:p>
        </w:tc>
        <w:tc>
          <w:tcPr>
            <w:tcW w:w="1008" w:type="dxa"/>
            <w:vAlign w:val="center"/>
          </w:tcPr>
          <w:p>
            <w:pPr>
              <w:snapToGrid w:val="0"/>
              <w:jc w:val="center"/>
              <w:rPr>
                <w:sz w:val="24"/>
                <w:szCs w:val="24"/>
              </w:rPr>
            </w:pPr>
            <w:r>
              <w:rPr>
                <w:sz w:val="24"/>
                <w:szCs w:val="24"/>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1241" w:type="dxa"/>
            <w:shd w:val="clear" w:color="auto" w:fill="CFCECE" w:themeFill="background2" w:themeFillShade="E5"/>
            <w:vAlign w:val="center"/>
          </w:tcPr>
          <w:p>
            <w:pPr>
              <w:snapToGrid w:val="0"/>
              <w:jc w:val="center"/>
              <w:rPr>
                <w:sz w:val="24"/>
                <w:szCs w:val="24"/>
              </w:rPr>
            </w:pPr>
            <w:r>
              <w:rPr>
                <w:sz w:val="24"/>
                <w:szCs w:val="24"/>
              </w:rPr>
              <w:t>中心城区合计</w:t>
            </w:r>
          </w:p>
        </w:tc>
        <w:tc>
          <w:tcPr>
            <w:tcW w:w="1170" w:type="dxa"/>
            <w:shd w:val="clear" w:color="auto" w:fill="CFCECE" w:themeFill="background2" w:themeFillShade="E5"/>
            <w:vAlign w:val="center"/>
          </w:tcPr>
          <w:p>
            <w:pPr>
              <w:snapToGrid w:val="0"/>
              <w:jc w:val="center"/>
              <w:rPr>
                <w:sz w:val="24"/>
                <w:szCs w:val="24"/>
              </w:rPr>
            </w:pPr>
            <w:r>
              <w:rPr>
                <w:sz w:val="24"/>
                <w:szCs w:val="24"/>
              </w:rPr>
              <w:t>402</w:t>
            </w:r>
          </w:p>
        </w:tc>
        <w:tc>
          <w:tcPr>
            <w:tcW w:w="1009" w:type="dxa"/>
            <w:shd w:val="clear" w:color="auto" w:fill="CFCECE" w:themeFill="background2" w:themeFillShade="E5"/>
            <w:vAlign w:val="center"/>
          </w:tcPr>
          <w:p>
            <w:pPr>
              <w:snapToGrid w:val="0"/>
              <w:jc w:val="center"/>
              <w:rPr>
                <w:sz w:val="24"/>
                <w:szCs w:val="24"/>
              </w:rPr>
            </w:pPr>
            <w:r>
              <w:rPr>
                <w:sz w:val="24"/>
                <w:szCs w:val="24"/>
              </w:rPr>
              <w:t>13</w:t>
            </w:r>
          </w:p>
        </w:tc>
        <w:tc>
          <w:tcPr>
            <w:tcW w:w="868" w:type="dxa"/>
            <w:shd w:val="clear" w:color="auto" w:fill="CFCECE" w:themeFill="background2" w:themeFillShade="E5"/>
            <w:vAlign w:val="center"/>
          </w:tcPr>
          <w:p>
            <w:pPr>
              <w:snapToGrid w:val="0"/>
              <w:jc w:val="center"/>
              <w:rPr>
                <w:sz w:val="24"/>
                <w:szCs w:val="24"/>
              </w:rPr>
            </w:pPr>
            <w:r>
              <w:rPr>
                <w:sz w:val="24"/>
                <w:szCs w:val="24"/>
              </w:rPr>
              <w:t>29</w:t>
            </w:r>
          </w:p>
        </w:tc>
        <w:tc>
          <w:tcPr>
            <w:tcW w:w="823" w:type="dxa"/>
            <w:shd w:val="clear" w:color="auto" w:fill="CFCECE" w:themeFill="background2" w:themeFillShade="E5"/>
            <w:vAlign w:val="center"/>
          </w:tcPr>
          <w:p>
            <w:pPr>
              <w:snapToGrid w:val="0"/>
              <w:jc w:val="center"/>
              <w:rPr>
                <w:sz w:val="24"/>
                <w:szCs w:val="24"/>
              </w:rPr>
            </w:pPr>
            <w:r>
              <w:rPr>
                <w:sz w:val="24"/>
                <w:szCs w:val="24"/>
              </w:rPr>
              <w:t>4</w:t>
            </w:r>
          </w:p>
        </w:tc>
        <w:tc>
          <w:tcPr>
            <w:tcW w:w="947" w:type="dxa"/>
            <w:shd w:val="clear" w:color="auto" w:fill="CFCECE" w:themeFill="background2" w:themeFillShade="E5"/>
            <w:vAlign w:val="center"/>
          </w:tcPr>
          <w:p>
            <w:pPr>
              <w:snapToGrid w:val="0"/>
              <w:jc w:val="center"/>
              <w:rPr>
                <w:sz w:val="24"/>
                <w:szCs w:val="24"/>
              </w:rPr>
            </w:pPr>
            <w:r>
              <w:rPr>
                <w:sz w:val="24"/>
                <w:szCs w:val="24"/>
              </w:rPr>
              <w:t>62</w:t>
            </w:r>
          </w:p>
        </w:tc>
        <w:tc>
          <w:tcPr>
            <w:tcW w:w="957" w:type="dxa"/>
            <w:shd w:val="clear" w:color="auto" w:fill="CFCECE" w:themeFill="background2" w:themeFillShade="E5"/>
            <w:vAlign w:val="center"/>
          </w:tcPr>
          <w:p>
            <w:pPr>
              <w:snapToGrid w:val="0"/>
              <w:jc w:val="center"/>
              <w:rPr>
                <w:sz w:val="24"/>
                <w:szCs w:val="24"/>
              </w:rPr>
            </w:pPr>
            <w:r>
              <w:rPr>
                <w:sz w:val="24"/>
                <w:szCs w:val="24"/>
              </w:rPr>
              <w:t>86</w:t>
            </w:r>
          </w:p>
        </w:tc>
        <w:tc>
          <w:tcPr>
            <w:tcW w:w="1011" w:type="dxa"/>
            <w:shd w:val="clear" w:color="auto" w:fill="CFCECE" w:themeFill="background2" w:themeFillShade="E5"/>
            <w:vAlign w:val="center"/>
          </w:tcPr>
          <w:p>
            <w:pPr>
              <w:snapToGrid w:val="0"/>
              <w:jc w:val="center"/>
              <w:rPr>
                <w:sz w:val="24"/>
                <w:szCs w:val="24"/>
              </w:rPr>
            </w:pPr>
            <w:r>
              <w:rPr>
                <w:sz w:val="24"/>
                <w:szCs w:val="24"/>
              </w:rPr>
              <w:t>194</w:t>
            </w:r>
          </w:p>
        </w:tc>
        <w:tc>
          <w:tcPr>
            <w:tcW w:w="1008" w:type="dxa"/>
            <w:shd w:val="clear" w:color="auto" w:fill="CFCECE" w:themeFill="background2" w:themeFillShade="E5"/>
            <w:vAlign w:val="center"/>
          </w:tcPr>
          <w:p>
            <w:pPr>
              <w:snapToGrid w:val="0"/>
              <w:jc w:val="center"/>
              <w:rPr>
                <w:sz w:val="24"/>
                <w:szCs w:val="24"/>
              </w:rPr>
            </w:pPr>
            <w:r>
              <w:rPr>
                <w:sz w:val="24"/>
                <w:szCs w:val="24"/>
              </w:rPr>
              <w:t>596</w:t>
            </w:r>
          </w:p>
        </w:tc>
      </w:tr>
    </w:tbl>
    <w:p>
      <w:pPr>
        <w:ind w:firstLine="570" w:firstLineChars="200"/>
        <w:rPr>
          <w:sz w:val="28"/>
          <w:szCs w:val="28"/>
        </w:rPr>
      </w:pPr>
      <w:r>
        <w:rPr>
          <w:sz w:val="28"/>
          <w:szCs w:val="28"/>
        </w:rPr>
        <w:t>注：1．表中现状加油站座数为各区年审数据。</w:t>
      </w:r>
    </w:p>
    <w:p>
      <w:pPr>
        <w:ind w:firstLine="1140" w:firstLineChars="400"/>
        <w:rPr>
          <w:sz w:val="28"/>
          <w:szCs w:val="28"/>
        </w:rPr>
      </w:pPr>
      <w:r>
        <w:rPr>
          <w:sz w:val="28"/>
          <w:szCs w:val="28"/>
        </w:rPr>
        <w:t>2．中心城区编制了加油加气站专项布点规划（共布局274座加油加气站，其中加油站和油气合建站260座），为加油站实施建设提供了用地保障。原则上中心城区各区加油站在专项布点规划中选择站点进行实施，但高新区新增城市建设用地区域和两江新区局部城市区域存在加油站服务空白，本次发展规划在原有加油站专项规划外新增布局了13座站点，其中高新区10座，两江新区3座。另结合国土空间发展情况，布局了37处加油站发展备选用地（详见附件2），作为现状站点迁建及规划站点调整的备选用地。</w:t>
      </w:r>
    </w:p>
    <w:p>
      <w:pPr>
        <w:outlineLvl w:val="3"/>
        <w:rPr>
          <w:b/>
          <w:sz w:val="32"/>
          <w:szCs w:val="32"/>
        </w:rPr>
      </w:pPr>
      <w:r>
        <w:rPr>
          <w:b/>
          <w:sz w:val="32"/>
          <w:szCs w:val="32"/>
        </w:rPr>
        <w:t>　</w:t>
      </w:r>
      <w:r>
        <w:rPr>
          <w:sz w:val="32"/>
          <w:szCs w:val="32"/>
        </w:rPr>
        <w:t>　4.4.1.1大渡口区</w:t>
      </w:r>
    </w:p>
    <w:p>
      <w:pPr>
        <w:rPr>
          <w:sz w:val="32"/>
          <w:szCs w:val="32"/>
        </w:rPr>
      </w:pPr>
      <w:r>
        <w:rPr>
          <w:sz w:val="32"/>
          <w:szCs w:val="32"/>
        </w:rPr>
        <w:t>　　大渡口区地处重庆市中心城区西南部，全区幅员面积103平方公里，现辖5街3镇，常住人口42.3万人。2020年地区生产总值约266.46亿元。2020年全区成品油零售量为5.57万吨，其中汽油4.4万吨，柴油1.17万吨。</w:t>
      </w:r>
    </w:p>
    <w:p>
      <w:pPr>
        <w:ind w:firstLine="480"/>
        <w:rPr>
          <w:sz w:val="32"/>
          <w:szCs w:val="32"/>
        </w:rPr>
      </w:pPr>
      <w:r>
        <w:rPr>
          <w:sz w:val="32"/>
          <w:szCs w:val="32"/>
        </w:rPr>
        <w:t xml:space="preserve"> 截止2020年末，大渡口区现状加油站13座；本次规划12座，其中迁建1座，扩建3座，调整续建5座，调整新建3座；规划期末合计25座。</w:t>
      </w:r>
    </w:p>
    <w:p>
      <w:pPr>
        <w:outlineLvl w:val="3"/>
        <w:rPr>
          <w:sz w:val="32"/>
          <w:szCs w:val="32"/>
        </w:rPr>
      </w:pPr>
      <w:r>
        <w:rPr>
          <w:sz w:val="32"/>
          <w:szCs w:val="32"/>
        </w:rPr>
        <w:t>　　4.4.1.2北碚区</w:t>
      </w:r>
    </w:p>
    <w:p>
      <w:pPr>
        <w:rPr>
          <w:sz w:val="32"/>
          <w:szCs w:val="32"/>
        </w:rPr>
      </w:pPr>
      <w:r>
        <w:rPr>
          <w:sz w:val="32"/>
          <w:szCs w:val="32"/>
        </w:rPr>
        <w:t>　　北碚区是位于重庆市中心城区西北郊，幅员面积为753平方公里，现辖5个街道、12个镇，全区常住人口83.63万人。2020年地区生产总值约636.41亿元；2020年北碚区成品油零售量为16.38万吨，其中汽油11.42万吨，柴油4.96万吨。</w:t>
      </w:r>
    </w:p>
    <w:p>
      <w:pPr>
        <w:ind w:firstLine="652"/>
        <w:rPr>
          <w:sz w:val="32"/>
          <w:szCs w:val="32"/>
        </w:rPr>
      </w:pPr>
      <w:r>
        <w:rPr>
          <w:sz w:val="32"/>
          <w:szCs w:val="32"/>
        </w:rPr>
        <w:t>截止2020年末，北碚区区现状加油站47座；本次规划15座，其中调整续建5座，调整新建10座；规划期末合计62座。　</w:t>
      </w:r>
    </w:p>
    <w:p>
      <w:pPr>
        <w:ind w:firstLine="652"/>
        <w:rPr>
          <w:sz w:val="32"/>
          <w:szCs w:val="32"/>
        </w:rPr>
      </w:pPr>
      <w:r>
        <w:rPr>
          <w:sz w:val="32"/>
          <w:szCs w:val="32"/>
        </w:rPr>
        <w:t>4.4.1.3南岸区</w:t>
      </w:r>
    </w:p>
    <w:p>
      <w:pPr>
        <w:rPr>
          <w:sz w:val="32"/>
          <w:szCs w:val="32"/>
        </w:rPr>
      </w:pPr>
      <w:r>
        <w:rPr>
          <w:sz w:val="32"/>
          <w:szCs w:val="32"/>
        </w:rPr>
        <w:t>　　南岸区位于长江南岸，全区幅员面积265平方公里，常住人口120.02万人。2020年地区生产总值约813.25亿元。2020年南岸区总计成品油零售量27.13万吨，其中汽油20.67万吨，柴油6.46万吨。</w:t>
      </w:r>
    </w:p>
    <w:p>
      <w:pPr>
        <w:ind w:firstLine="650" w:firstLineChars="200"/>
        <w:rPr>
          <w:sz w:val="32"/>
          <w:szCs w:val="32"/>
        </w:rPr>
      </w:pPr>
      <w:r>
        <w:rPr>
          <w:sz w:val="32"/>
          <w:szCs w:val="32"/>
        </w:rPr>
        <w:t>截止2020年末，南岸区现状加油站共计44座；本次规划18座，其中迁建3座，调整续建10座，调整新建5座；规划期末合计62座。</w:t>
      </w:r>
    </w:p>
    <w:p>
      <w:pPr>
        <w:ind w:firstLine="650" w:firstLineChars="200"/>
        <w:outlineLvl w:val="3"/>
        <w:rPr>
          <w:sz w:val="32"/>
          <w:szCs w:val="32"/>
        </w:rPr>
      </w:pPr>
      <w:r>
        <w:rPr>
          <w:sz w:val="32"/>
          <w:szCs w:val="32"/>
        </w:rPr>
        <w:t>4.4.1.4巴南区</w:t>
      </w:r>
      <w:bookmarkStart w:id="471" w:name="_Toc204453874"/>
    </w:p>
    <w:p>
      <w:pPr>
        <w:ind w:firstLine="650" w:firstLineChars="200"/>
        <w:rPr>
          <w:sz w:val="32"/>
          <w:szCs w:val="32"/>
        </w:rPr>
      </w:pPr>
      <w:r>
        <w:rPr>
          <w:sz w:val="32"/>
          <w:szCs w:val="32"/>
        </w:rPr>
        <w:t>巴南区位于重庆市中心城区南部，全区幅员面积1825平方公里，现辖22乡镇、街道，全区常住人口118.08万人。2020年地区生产总值约865.48亿元</w:t>
      </w:r>
      <w:bookmarkEnd w:id="471"/>
      <w:r>
        <w:rPr>
          <w:sz w:val="32"/>
          <w:szCs w:val="32"/>
        </w:rPr>
        <w:t>。2020年全区加油站成品油零售量为21.86万吨，其中汽油17.66万吨，柴油4.2万吨。</w:t>
      </w:r>
    </w:p>
    <w:p>
      <w:pPr>
        <w:ind w:firstLine="650" w:firstLineChars="200"/>
        <w:rPr>
          <w:sz w:val="32"/>
          <w:szCs w:val="32"/>
        </w:rPr>
      </w:pPr>
      <w:r>
        <w:rPr>
          <w:sz w:val="32"/>
          <w:szCs w:val="32"/>
        </w:rPr>
        <w:t>截止2020年末，巴南区现状加油站51座；本次规划36座，其中迁建11座，调整续建6座，调整新建19座；规划期末合计87座。</w:t>
      </w:r>
    </w:p>
    <w:p>
      <w:pPr>
        <w:ind w:firstLine="650" w:firstLineChars="200"/>
        <w:outlineLvl w:val="3"/>
        <w:rPr>
          <w:sz w:val="32"/>
          <w:szCs w:val="32"/>
        </w:rPr>
      </w:pPr>
      <w:r>
        <w:rPr>
          <w:sz w:val="32"/>
          <w:szCs w:val="32"/>
        </w:rPr>
        <w:t>4.4.1.5沙坪坝区</w:t>
      </w:r>
    </w:p>
    <w:p>
      <w:pPr>
        <w:ind w:firstLine="650" w:firstLineChars="200"/>
        <w:rPr>
          <w:sz w:val="32"/>
          <w:szCs w:val="32"/>
        </w:rPr>
      </w:pPr>
      <w:r>
        <w:rPr>
          <w:sz w:val="32"/>
          <w:szCs w:val="32"/>
        </w:rPr>
        <w:t>沙坪坝区地处重庆市中心城区西部，全区幅员面积为396.2平方公里，辖18个街道和8个镇，常住人口148万人。2020年地区生产总值约1013.94亿元。2020年，全区成品油零售量为17.61万吨，其中汽油11.93万吨，柴油5.68万吨。</w:t>
      </w:r>
    </w:p>
    <w:p>
      <w:pPr>
        <w:ind w:firstLine="650" w:firstLineChars="200"/>
        <w:rPr>
          <w:sz w:val="32"/>
          <w:szCs w:val="32"/>
        </w:rPr>
      </w:pPr>
      <w:r>
        <w:rPr>
          <w:sz w:val="32"/>
          <w:szCs w:val="32"/>
        </w:rPr>
        <w:t xml:space="preserve"> 截止2020年末，沙坪坝区现状加油站32座；本次规划11座，其中迁建3座，调整续建3座，调整新建5座；规划期末总计43座。</w:t>
      </w:r>
    </w:p>
    <w:p>
      <w:pPr>
        <w:ind w:firstLine="650" w:firstLineChars="200"/>
        <w:outlineLvl w:val="3"/>
        <w:rPr>
          <w:sz w:val="32"/>
          <w:szCs w:val="32"/>
        </w:rPr>
      </w:pPr>
      <w:r>
        <w:rPr>
          <w:sz w:val="32"/>
          <w:szCs w:val="32"/>
        </w:rPr>
        <w:t>4.4.1.6渝中区</w:t>
      </w:r>
    </w:p>
    <w:p>
      <w:pPr>
        <w:ind w:firstLine="650" w:firstLineChars="200"/>
        <w:rPr>
          <w:sz w:val="32"/>
          <w:szCs w:val="32"/>
        </w:rPr>
      </w:pPr>
      <w:r>
        <w:rPr>
          <w:sz w:val="32"/>
          <w:szCs w:val="32"/>
        </w:rPr>
        <w:t>渝中区位于长江上游地区，地处长江、嘉陵江交汇地带，由于两江环抱，全区幅员面积23.71km</w:t>
      </w:r>
      <w:r>
        <w:rPr>
          <w:sz w:val="32"/>
          <w:szCs w:val="32"/>
          <w:vertAlign w:val="superscript"/>
        </w:rPr>
        <w:t>2</w:t>
      </w:r>
      <w:r>
        <w:rPr>
          <w:sz w:val="32"/>
          <w:szCs w:val="32"/>
        </w:rPr>
        <w:t>，辖11个街道办事处、77个社区居委会，全区常住人口58.72万人。2020年地区生产总值约1358.47亿元。2020年，渝中区总计成品油零售量7.66万吨，其中汽油6.62万吨，柴油1.04万吨。</w:t>
      </w:r>
    </w:p>
    <w:p>
      <w:pPr>
        <w:ind w:firstLine="650" w:firstLineChars="200"/>
        <w:rPr>
          <w:sz w:val="32"/>
          <w:szCs w:val="32"/>
        </w:rPr>
      </w:pPr>
      <w:r>
        <w:rPr>
          <w:sz w:val="32"/>
          <w:szCs w:val="32"/>
        </w:rPr>
        <w:t>截止2020年末，渝中区现状加油站共计16座；本次规划2座，均为迁建站；规划期末总计18座。</w:t>
      </w:r>
    </w:p>
    <w:p>
      <w:pPr>
        <w:ind w:firstLine="650" w:firstLineChars="200"/>
        <w:outlineLvl w:val="3"/>
        <w:rPr>
          <w:sz w:val="32"/>
          <w:szCs w:val="32"/>
        </w:rPr>
      </w:pPr>
      <w:r>
        <w:rPr>
          <w:sz w:val="32"/>
          <w:szCs w:val="32"/>
        </w:rPr>
        <w:t>4.4.1.7九龙坡区</w:t>
      </w:r>
    </w:p>
    <w:p>
      <w:pPr>
        <w:ind w:firstLine="650" w:firstLineChars="200"/>
        <w:rPr>
          <w:sz w:val="32"/>
          <w:szCs w:val="32"/>
        </w:rPr>
      </w:pPr>
      <w:r>
        <w:rPr>
          <w:sz w:val="32"/>
          <w:szCs w:val="32"/>
        </w:rPr>
        <w:t>九龙坡区处在重庆市中心城区西南部，全区幅员面积为431.86平方公里，辖8个街道和11个镇，全区常住人口152.99万人。2020年地区生产总值约1533.16亿元。2020年，全区成品油零售量为55.31万吨，其中汽油41.97万吨，柴油13.34万吨。（数据包含高新区）</w:t>
      </w:r>
    </w:p>
    <w:p>
      <w:pPr>
        <w:ind w:firstLine="650" w:firstLineChars="200"/>
        <w:rPr>
          <w:sz w:val="32"/>
          <w:szCs w:val="32"/>
        </w:rPr>
      </w:pPr>
      <w:r>
        <w:rPr>
          <w:sz w:val="32"/>
          <w:szCs w:val="32"/>
        </w:rPr>
        <w:t xml:space="preserve"> 截止2020年末，九龙坡区现状加油站56座；本次规划15座，其中迁建2座，调整续建8座，调整新建5座；规划期末总计71座。</w:t>
      </w:r>
    </w:p>
    <w:p>
      <w:pPr>
        <w:ind w:firstLine="650" w:firstLineChars="200"/>
        <w:outlineLvl w:val="3"/>
        <w:rPr>
          <w:sz w:val="32"/>
          <w:szCs w:val="32"/>
        </w:rPr>
      </w:pPr>
      <w:r>
        <w:rPr>
          <w:sz w:val="32"/>
          <w:szCs w:val="32"/>
        </w:rPr>
        <w:t>4.4.1.8高新区</w:t>
      </w:r>
    </w:p>
    <w:p>
      <w:pPr>
        <w:ind w:firstLine="650" w:firstLineChars="200"/>
        <w:rPr>
          <w:sz w:val="32"/>
          <w:szCs w:val="32"/>
        </w:rPr>
      </w:pPr>
      <w:r>
        <w:rPr>
          <w:sz w:val="32"/>
          <w:szCs w:val="32"/>
        </w:rPr>
        <w:t>高新区东衔中梁山，西拥缙云山，南接江津区、九龙坡区，北靠沙坪坝大学城，规划总面积313平方公里，辖金凤镇、含谷镇、走马镇、白市驿镇、巴福镇、石板镇，香炉山街道、西永街道、虎溪街道、曾家镇及西永微电园全域。高新区直管园现状已实施用地50.67平方公里；在建用地10.77平方公里；已批用地18.33平方公里；现状及准现状用地合计79.77平方公里。根据现行控规，剩余存量用地46.53平方公里。高新区直管园范围内涉及成渝高铁、渝黔货线及白市驿铁路货运站。高速公路涉及绕城高速、成渝高速、九永高速、渝蓉高速等。2020年高新区成品油零售量为8.15万吨，其中汽油4.95万吨，柴油3.2万吨。</w:t>
      </w:r>
    </w:p>
    <w:p>
      <w:pPr>
        <w:ind w:firstLine="650" w:firstLineChars="200"/>
        <w:rPr>
          <w:sz w:val="32"/>
          <w:szCs w:val="32"/>
        </w:rPr>
      </w:pPr>
      <w:r>
        <w:rPr>
          <w:sz w:val="32"/>
          <w:szCs w:val="32"/>
        </w:rPr>
        <w:t>截止2020年末，高新区现状加油站25座；本次规划18座，其中新规划10座，迁建2座，调整续建6座；规划期末总计43座。</w:t>
      </w:r>
    </w:p>
    <w:p>
      <w:pPr>
        <w:ind w:firstLine="650" w:firstLineChars="200"/>
        <w:outlineLvl w:val="3"/>
        <w:rPr>
          <w:sz w:val="32"/>
          <w:szCs w:val="32"/>
        </w:rPr>
      </w:pPr>
      <w:r>
        <w:rPr>
          <w:sz w:val="32"/>
          <w:szCs w:val="32"/>
        </w:rPr>
        <w:t>4.4.1.9江北区</w:t>
      </w:r>
    </w:p>
    <w:p>
      <w:pPr>
        <w:ind w:firstLine="650" w:firstLineChars="200"/>
        <w:rPr>
          <w:sz w:val="32"/>
          <w:szCs w:val="32"/>
        </w:rPr>
      </w:pPr>
      <w:r>
        <w:rPr>
          <w:sz w:val="32"/>
          <w:szCs w:val="32"/>
        </w:rPr>
        <w:t>江北区位于长江、嘉陵江交汇处北岸，全区幅员面积为213平方公里，辖9个街道、3个镇，全区常住人口92.65万人。2020年地区生产总值约1325.4亿元。到2020年江北区零售成品油21.45万吨，其中汽油15.16万吨，柴油6.29万吨。</w:t>
      </w:r>
    </w:p>
    <w:p>
      <w:pPr>
        <w:ind w:firstLine="650" w:firstLineChars="200"/>
        <w:rPr>
          <w:sz w:val="32"/>
          <w:szCs w:val="32"/>
        </w:rPr>
      </w:pPr>
      <w:r>
        <w:rPr>
          <w:sz w:val="32"/>
          <w:szCs w:val="32"/>
        </w:rPr>
        <w:t>截止2020年末，江北区现状加油站30座；本次规划10座，其中迁建2座，扩建1座，调整新建7座；规划期末合计40座。</w:t>
      </w:r>
    </w:p>
    <w:p>
      <w:pPr>
        <w:ind w:firstLine="650" w:firstLineChars="200"/>
        <w:outlineLvl w:val="3"/>
        <w:rPr>
          <w:sz w:val="32"/>
          <w:szCs w:val="32"/>
        </w:rPr>
      </w:pPr>
      <w:r>
        <w:rPr>
          <w:sz w:val="32"/>
          <w:szCs w:val="32"/>
        </w:rPr>
        <w:t>4.4.1.10渝北区</w:t>
      </w:r>
    </w:p>
    <w:p>
      <w:pPr>
        <w:ind w:firstLine="650" w:firstLineChars="200"/>
        <w:rPr>
          <w:sz w:val="32"/>
          <w:szCs w:val="32"/>
        </w:rPr>
      </w:pPr>
      <w:r>
        <w:rPr>
          <w:sz w:val="32"/>
          <w:szCs w:val="32"/>
        </w:rPr>
        <w:t>渝北区位于重庆市中心城区北部，全区幅员面积1452平方公里，现辖10街道、11镇，常住人口219.87万人。2020年地区生产总值约2009.52亿元。2020年渝北区成品油零售量为31.26万吨，其中汽油21.6万吨，柴油9.66万吨。（数据包含两江新区直管区部分）</w:t>
      </w:r>
    </w:p>
    <w:p>
      <w:pPr>
        <w:ind w:firstLine="650" w:firstLineChars="200"/>
        <w:rPr>
          <w:sz w:val="32"/>
          <w:szCs w:val="32"/>
        </w:rPr>
      </w:pPr>
      <w:r>
        <w:rPr>
          <w:sz w:val="32"/>
          <w:szCs w:val="32"/>
        </w:rPr>
        <w:t>截止2020年末，渝北区现状加油站42座；本次规划15座，其中迁建2座，调整续建6座，调整新建7座；规划期末合计57座。</w:t>
      </w:r>
    </w:p>
    <w:p>
      <w:pPr>
        <w:ind w:firstLine="650" w:firstLineChars="200"/>
        <w:outlineLvl w:val="3"/>
        <w:rPr>
          <w:sz w:val="32"/>
          <w:szCs w:val="32"/>
        </w:rPr>
      </w:pPr>
      <w:r>
        <w:rPr>
          <w:sz w:val="32"/>
          <w:szCs w:val="32"/>
        </w:rPr>
        <w:t>4.4.1.11两江新区</w:t>
      </w:r>
    </w:p>
    <w:p>
      <w:pPr>
        <w:ind w:firstLine="650" w:firstLineChars="200"/>
        <w:rPr>
          <w:sz w:val="32"/>
          <w:szCs w:val="32"/>
        </w:rPr>
      </w:pPr>
      <w:r>
        <w:rPr>
          <w:sz w:val="32"/>
          <w:szCs w:val="32"/>
        </w:rPr>
        <w:t>两江新区全域涉及江北、北碚和渝北三个行政区，具体包括包括8个镇、31个街道办事处、324个居委会和134个村委会。面积1200平方公里，其中直管区面积638平方公里。2020年，两江新区户籍总人口198.97万人，其中城镇人口183.6万人，乡村人口15.37万人。2020年地区生产总值约3675亿元。2020年两江新区成品油零售量为33.24万吨，其中汽油27.37万吨，柴油5.87万吨。</w:t>
      </w:r>
    </w:p>
    <w:p>
      <w:pPr>
        <w:ind w:firstLine="650" w:firstLineChars="200"/>
        <w:rPr>
          <w:sz w:val="32"/>
          <w:szCs w:val="32"/>
        </w:rPr>
      </w:pPr>
      <w:r>
        <w:rPr>
          <w:sz w:val="32"/>
          <w:szCs w:val="32"/>
        </w:rPr>
        <w:t xml:space="preserve"> 截止2020年末，两江新区现状加油站46座；本次规划42座，其中新规划3座，迁建1座，调整续建13座，调整新建25座；规划期末合计88座。</w:t>
      </w:r>
    </w:p>
    <w:p>
      <w:pPr>
        <w:pStyle w:val="5"/>
        <w:spacing w:afterLines="0" w:line="240" w:lineRule="auto"/>
        <w:ind w:firstLine="650" w:firstLineChars="200"/>
        <w:rPr>
          <w:rFonts w:ascii="Times New Roman" w:hAnsi="Times New Roman" w:eastAsia="宋体"/>
          <w:sz w:val="32"/>
        </w:rPr>
      </w:pPr>
      <w:bookmarkStart w:id="472" w:name="_Toc96528584"/>
      <w:r>
        <w:rPr>
          <w:rFonts w:ascii="Times New Roman" w:hAnsi="Times New Roman" w:eastAsia="宋体"/>
          <w:sz w:val="32"/>
        </w:rPr>
        <w:t>4.4.2 中心城区以外其他区县</w:t>
      </w:r>
      <w:bookmarkEnd w:id="472"/>
    </w:p>
    <w:p>
      <w:pPr>
        <w:ind w:firstLine="650" w:firstLineChars="200"/>
        <w:rPr>
          <w:sz w:val="32"/>
          <w:szCs w:val="32"/>
        </w:rPr>
      </w:pPr>
      <w:r>
        <w:rPr>
          <w:sz w:val="32"/>
          <w:szCs w:val="32"/>
        </w:rPr>
        <w:t>根据《国务院办公厅关于加快发展流通促进商业消费的意见》（国办发〔2019〕42号）、《重庆市商务部关于做好石油成品油流通管理“放管服”改革工作的通知》（商运函〔2019〕659号）和《重庆市人民政府办公厅关于加快发展流通促进商业消费的通知》（渝府办发〔2020〕2号）相关要求，成品油零售经营资格审批已下放至地市级政府。按照市商委相关要求，中心城区以外的各区县均编制了其他区县成品油零售加油站 “十四五”发展规划，本次规划对中心城区以外的各区县成果进行了汇总。</w:t>
      </w:r>
    </w:p>
    <w:p>
      <w:pPr>
        <w:ind w:firstLine="650" w:firstLineChars="200"/>
        <w:rPr>
          <w:sz w:val="32"/>
          <w:szCs w:val="32"/>
        </w:rPr>
      </w:pPr>
      <w:r>
        <w:rPr>
          <w:sz w:val="32"/>
          <w:szCs w:val="32"/>
        </w:rPr>
        <w:t>截止2020年末，中心城区以外其他区县现状加油站总计1336座；本次规划加油站773座（详见附表3），其中新规划414座，迁建59座，扩建20座，调整280座；规划期末合计2109座。</w:t>
      </w:r>
    </w:p>
    <w:p>
      <w:pPr>
        <w:jc w:val="center"/>
        <w:rPr>
          <w:sz w:val="32"/>
          <w:szCs w:val="32"/>
        </w:rPr>
      </w:pPr>
    </w:p>
    <w:p>
      <w:pPr>
        <w:jc w:val="center"/>
        <w:rPr>
          <w:sz w:val="32"/>
          <w:szCs w:val="32"/>
        </w:rPr>
      </w:pPr>
      <w:r>
        <w:rPr>
          <w:sz w:val="32"/>
          <w:szCs w:val="32"/>
        </w:rPr>
        <w:t>表4-2 中心城区以外其他区县成品油零售加油站</w:t>
      </w:r>
    </w:p>
    <w:p>
      <w:pPr>
        <w:jc w:val="center"/>
        <w:rPr>
          <w:sz w:val="32"/>
          <w:szCs w:val="32"/>
        </w:rPr>
      </w:pPr>
      <w:r>
        <w:rPr>
          <w:sz w:val="32"/>
          <w:szCs w:val="32"/>
        </w:rPr>
        <w:t>发展规划汇总表</w:t>
      </w:r>
    </w:p>
    <w:tbl>
      <w:tblPr>
        <w:tblStyle w:val="18"/>
        <w:tblW w:w="8854" w:type="dxa"/>
        <w:jc w:val="center"/>
        <w:tblLayout w:type="fixed"/>
        <w:tblCellMar>
          <w:top w:w="0" w:type="dxa"/>
          <w:left w:w="0" w:type="dxa"/>
          <w:bottom w:w="0" w:type="dxa"/>
          <w:right w:w="0" w:type="dxa"/>
        </w:tblCellMar>
      </w:tblPr>
      <w:tblGrid>
        <w:gridCol w:w="813"/>
        <w:gridCol w:w="1183"/>
        <w:gridCol w:w="1184"/>
        <w:gridCol w:w="1183"/>
        <w:gridCol w:w="1184"/>
        <w:gridCol w:w="1183"/>
        <w:gridCol w:w="1185"/>
        <w:gridCol w:w="939"/>
      </w:tblGrid>
      <w:tr>
        <w:tblPrEx>
          <w:tblCellMar>
            <w:top w:w="0" w:type="dxa"/>
            <w:left w:w="0" w:type="dxa"/>
            <w:bottom w:w="0" w:type="dxa"/>
            <w:right w:w="0" w:type="dxa"/>
          </w:tblCellMar>
        </w:tblPrEx>
        <w:trPr>
          <w:trHeight w:val="261" w:hRule="atLeast"/>
          <w:jc w:val="center"/>
        </w:trPr>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区县</w:t>
            </w:r>
          </w:p>
        </w:tc>
        <w:tc>
          <w:tcPr>
            <w:tcW w:w="1183"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2020年底现状站（座）</w:t>
            </w:r>
          </w:p>
        </w:tc>
        <w:tc>
          <w:tcPr>
            <w:tcW w:w="5919"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本次规划（座）</w:t>
            </w:r>
          </w:p>
        </w:tc>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规划期末（座）</w:t>
            </w:r>
          </w:p>
        </w:tc>
      </w:tr>
      <w:tr>
        <w:tblPrEx>
          <w:tblCellMar>
            <w:top w:w="0" w:type="dxa"/>
            <w:left w:w="0" w:type="dxa"/>
            <w:bottom w:w="0" w:type="dxa"/>
            <w:right w:w="0" w:type="dxa"/>
          </w:tblCellMar>
        </w:tblPrEx>
        <w:trPr>
          <w:trHeight w:val="516" w:hRule="atLeast"/>
          <w:jc w:val="center"/>
        </w:trPr>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b/>
                <w:bCs/>
                <w:kern w:val="0"/>
                <w:sz w:val="24"/>
                <w:szCs w:val="24"/>
              </w:rPr>
            </w:pPr>
          </w:p>
        </w:tc>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b/>
                <w:bCs/>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新规划（座）</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迁建（座）</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扩建（座）</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调整（座）</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合计（座）</w:t>
            </w:r>
          </w:p>
        </w:tc>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b/>
                <w:bCs/>
                <w:kern w:val="0"/>
                <w:sz w:val="24"/>
                <w:szCs w:val="24"/>
              </w:rPr>
            </w:pP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万州</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103</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15</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40</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143</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黔江</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37</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43</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80</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涪陵</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91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17</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31</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122</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长寿</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39</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21</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21</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60</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江津</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73</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29</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37</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110</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合川</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68</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29</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33</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101</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永川</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12</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29</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103</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南川</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49</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15</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25</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45</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94</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綦江</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48</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10</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58</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万盛</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15</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8</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15</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30</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大足</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35</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21</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25</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60</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璧山</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37</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13</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17</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54</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铜梁</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18</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19</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63</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潼南</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32</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14</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15</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47</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荣昌</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36</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14</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50</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开州</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68</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32</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39</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107</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梁平</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10</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51</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武隆</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29</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53</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城口</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9</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15</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35</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丰都</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35</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8</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27</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38</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73</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垫江</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28</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18</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46</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忠县</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39</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12</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21</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60</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云阳</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23</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27</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77</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奉节</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24</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29</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73</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巫山</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18</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25</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59</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巫溪</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31</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61</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石柱</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15</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22</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46</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秀山</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37</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19</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25</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62</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酉阳</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45</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0</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24</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69</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彭水</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36</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11</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4</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7</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26</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kern w:val="0"/>
                <w:sz w:val="24"/>
                <w:szCs w:val="24"/>
              </w:rPr>
            </w:pPr>
            <w:r>
              <w:rPr>
                <w:kern w:val="0"/>
                <w:sz w:val="24"/>
                <w:szCs w:val="24"/>
              </w:rPr>
              <w:t>62</w:t>
            </w:r>
          </w:p>
        </w:tc>
      </w:tr>
      <w:tr>
        <w:tblPrEx>
          <w:tblCellMar>
            <w:top w:w="0" w:type="dxa"/>
            <w:left w:w="0" w:type="dxa"/>
            <w:bottom w:w="0" w:type="dxa"/>
            <w:right w:w="0" w:type="dxa"/>
          </w:tblCellMar>
        </w:tblPrEx>
        <w:trPr>
          <w:trHeight w:val="425" w:hRule="exac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snapToGrid w:val="0"/>
              <w:jc w:val="center"/>
              <w:rPr>
                <w:kern w:val="0"/>
                <w:sz w:val="24"/>
                <w:szCs w:val="24"/>
              </w:rPr>
            </w:pPr>
            <w:r>
              <w:rPr>
                <w:kern w:val="0"/>
                <w:sz w:val="24"/>
                <w:szCs w:val="24"/>
              </w:rPr>
              <w:t>合计</w:t>
            </w:r>
          </w:p>
        </w:tc>
        <w:tc>
          <w:tcPr>
            <w:tcW w:w="1183"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snapToGrid w:val="0"/>
              <w:jc w:val="center"/>
              <w:rPr>
                <w:kern w:val="0"/>
                <w:sz w:val="24"/>
                <w:szCs w:val="24"/>
              </w:rPr>
            </w:pPr>
            <w:r>
              <w:rPr>
                <w:kern w:val="0"/>
                <w:sz w:val="24"/>
                <w:szCs w:val="24"/>
              </w:rPr>
              <w:t>1336</w:t>
            </w:r>
          </w:p>
        </w:tc>
        <w:tc>
          <w:tcPr>
            <w:tcW w:w="1184"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snapToGrid w:val="0"/>
              <w:jc w:val="center"/>
              <w:rPr>
                <w:kern w:val="0"/>
                <w:sz w:val="24"/>
                <w:szCs w:val="24"/>
              </w:rPr>
            </w:pPr>
            <w:r>
              <w:rPr>
                <w:kern w:val="0"/>
                <w:sz w:val="24"/>
                <w:szCs w:val="24"/>
              </w:rPr>
              <w:t>414</w:t>
            </w:r>
          </w:p>
        </w:tc>
        <w:tc>
          <w:tcPr>
            <w:tcW w:w="1183"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snapToGrid w:val="0"/>
              <w:jc w:val="center"/>
              <w:rPr>
                <w:kern w:val="0"/>
                <w:sz w:val="24"/>
                <w:szCs w:val="24"/>
              </w:rPr>
            </w:pPr>
            <w:r>
              <w:rPr>
                <w:kern w:val="0"/>
                <w:sz w:val="24"/>
                <w:szCs w:val="24"/>
              </w:rPr>
              <w:t>59</w:t>
            </w:r>
          </w:p>
        </w:tc>
        <w:tc>
          <w:tcPr>
            <w:tcW w:w="1184"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snapToGrid w:val="0"/>
              <w:jc w:val="center"/>
              <w:rPr>
                <w:kern w:val="0"/>
                <w:sz w:val="24"/>
                <w:szCs w:val="24"/>
              </w:rPr>
            </w:pPr>
            <w:r>
              <w:rPr>
                <w:kern w:val="0"/>
                <w:sz w:val="24"/>
                <w:szCs w:val="24"/>
              </w:rPr>
              <w:t>20</w:t>
            </w:r>
          </w:p>
        </w:tc>
        <w:tc>
          <w:tcPr>
            <w:tcW w:w="1183"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snapToGrid w:val="0"/>
              <w:jc w:val="center"/>
              <w:rPr>
                <w:kern w:val="0"/>
                <w:sz w:val="24"/>
                <w:szCs w:val="24"/>
              </w:rPr>
            </w:pPr>
            <w:r>
              <w:rPr>
                <w:kern w:val="0"/>
                <w:sz w:val="24"/>
                <w:szCs w:val="24"/>
              </w:rPr>
              <w:t>280</w:t>
            </w:r>
          </w:p>
        </w:tc>
        <w:tc>
          <w:tcPr>
            <w:tcW w:w="1185"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snapToGrid w:val="0"/>
              <w:jc w:val="center"/>
              <w:rPr>
                <w:kern w:val="0"/>
                <w:sz w:val="24"/>
                <w:szCs w:val="24"/>
              </w:rPr>
            </w:pPr>
            <w:r>
              <w:rPr>
                <w:kern w:val="0"/>
                <w:sz w:val="24"/>
                <w:szCs w:val="24"/>
              </w:rPr>
              <w:t>773</w:t>
            </w:r>
          </w:p>
        </w:tc>
        <w:tc>
          <w:tcPr>
            <w:tcW w:w="939"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snapToGrid w:val="0"/>
              <w:jc w:val="center"/>
              <w:rPr>
                <w:kern w:val="0"/>
                <w:sz w:val="24"/>
                <w:szCs w:val="24"/>
              </w:rPr>
            </w:pPr>
            <w:r>
              <w:rPr>
                <w:kern w:val="0"/>
                <w:sz w:val="24"/>
                <w:szCs w:val="24"/>
              </w:rPr>
              <w:t>2109</w:t>
            </w:r>
          </w:p>
        </w:tc>
      </w:t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tbl>
    <w:p>
      <w:pPr>
        <w:ind w:firstLine="650" w:firstLineChars="200"/>
        <w:outlineLvl w:val="3"/>
        <w:rPr>
          <w:sz w:val="32"/>
          <w:szCs w:val="32"/>
        </w:rPr>
      </w:pPr>
      <w:bookmarkStart w:id="473" w:name="_Toc444796419"/>
      <w:bookmarkStart w:id="474" w:name="_Toc460434380"/>
      <w:bookmarkStart w:id="475" w:name="_Toc460434509"/>
      <w:r>
        <w:rPr>
          <w:sz w:val="32"/>
          <w:szCs w:val="32"/>
        </w:rPr>
        <w:t>4.4.2.1万州区</w:t>
      </w:r>
    </w:p>
    <w:p>
      <w:pPr>
        <w:ind w:firstLine="650" w:firstLineChars="200"/>
        <w:rPr>
          <w:sz w:val="32"/>
          <w:szCs w:val="32"/>
        </w:rPr>
      </w:pPr>
      <w:r>
        <w:rPr>
          <w:sz w:val="32"/>
          <w:szCs w:val="32"/>
        </w:rPr>
        <w:t>万州区地处三峡库区腹心，是渝东北城镇群中心城市，区域面积3457平方公里，户籍人口172.57万人。2020年，实现地区生产总值970.68亿元，比上年增长2.4%。其中，第一产业增加值95.97亿元，比上年增长5.1%；第二产业增加值268亿元，比上年下降0.3%；第三产业增加值606.71亿元，比上年增长3.3%。三次产业结构比为9.9:27.6:62.5。2020年，全区公路通车里程7340公里，其中，高速公路通车里程195公里。境内铁路营运里程157公里。“十三五” 期间，万州区汽车保有量大幅增长。</w:t>
      </w:r>
    </w:p>
    <w:p>
      <w:pPr>
        <w:ind w:firstLine="650" w:firstLineChars="200"/>
        <w:rPr>
          <w:sz w:val="32"/>
          <w:szCs w:val="32"/>
        </w:rPr>
      </w:pPr>
      <w:r>
        <w:rPr>
          <w:sz w:val="32"/>
          <w:szCs w:val="32"/>
        </w:rPr>
        <w:t>在现有在运营103座加油站基础上，全区新规划加油站15座，迁建3座，调整22座，到规划期末，全区加油站总数控制在143座左右。</w:t>
      </w:r>
    </w:p>
    <w:p>
      <w:pPr>
        <w:ind w:firstLine="650" w:firstLineChars="200"/>
        <w:outlineLvl w:val="3"/>
        <w:rPr>
          <w:sz w:val="32"/>
          <w:szCs w:val="32"/>
        </w:rPr>
      </w:pPr>
      <w:r>
        <w:rPr>
          <w:sz w:val="32"/>
          <w:szCs w:val="32"/>
        </w:rPr>
        <w:t>4.4.2.2黔江区</w:t>
      </w:r>
    </w:p>
    <w:p>
      <w:pPr>
        <w:ind w:firstLine="650" w:firstLineChars="200"/>
        <w:rPr>
          <w:sz w:val="32"/>
          <w:szCs w:val="32"/>
        </w:rPr>
      </w:pPr>
      <w:r>
        <w:rPr>
          <w:sz w:val="32"/>
          <w:szCs w:val="32"/>
        </w:rPr>
        <w:t>黔江区位于重庆市的东南边缘，地处武陵山腹地，是渝、鄂、湘、黔四省市的结合部，素有“渝鄂咽喉”之称，东临湖北省的咸丰县，西界彭水县，南连酉阳县，北接湖北利川市。全区幅员面积约2402平方公里，东西宽约45公里，南北长约90公里，现有24个乡镇、6个街道，共有52万人口。</w:t>
      </w:r>
    </w:p>
    <w:p>
      <w:pPr>
        <w:ind w:firstLine="650" w:firstLineChars="200"/>
        <w:rPr>
          <w:sz w:val="32"/>
          <w:szCs w:val="32"/>
        </w:rPr>
      </w:pPr>
      <w:r>
        <w:rPr>
          <w:sz w:val="32"/>
          <w:szCs w:val="32"/>
        </w:rPr>
        <w:t>在现有在运营37座加油站基础上，全区新规划加油站10座，调整33座，到规划期末，全区加油站总数控制在80座左右。</w:t>
      </w:r>
    </w:p>
    <w:p>
      <w:pPr>
        <w:ind w:firstLine="650" w:firstLineChars="200"/>
        <w:outlineLvl w:val="3"/>
        <w:rPr>
          <w:sz w:val="32"/>
          <w:szCs w:val="32"/>
        </w:rPr>
      </w:pPr>
      <w:r>
        <w:rPr>
          <w:sz w:val="32"/>
          <w:szCs w:val="32"/>
        </w:rPr>
        <w:t>4.4.2.3涪陵区</w:t>
      </w:r>
    </w:p>
    <w:p>
      <w:pPr>
        <w:ind w:firstLine="650" w:firstLineChars="200"/>
        <w:rPr>
          <w:sz w:val="32"/>
          <w:szCs w:val="32"/>
        </w:rPr>
      </w:pPr>
      <w:r>
        <w:rPr>
          <w:sz w:val="32"/>
          <w:szCs w:val="32"/>
        </w:rPr>
        <w:t>涪陵区位于长江上游，地处重庆中部和三峡库区腹地，东邻丰都县，南接南川区、武隆区，西连巴南区，北靠长寿区、垫江县，自古以来是长江上游重要港口和乌江流域最大的物资集散地，有“地连五郡、舟会三川”之美誉， 幅员面积2942.34平方公里。2020年，全区户籍户数45.15万户，户籍人口114.83万人，常住人口117.03万人，地区生产总值突破1225亿元，实现一般公共预算收入55.1亿元，规模以上工业产值达到1742.3亿元，实现社会消费品零售总额466.50亿元，全年游客接待量2150万人次，全区旅游综合收入162亿元，城镇居民人均可支配收入42336元，农村居民人均可支配收入17550元，境内公路里程5711公里，其中高速公路里程130公里。</w:t>
      </w:r>
    </w:p>
    <w:p>
      <w:pPr>
        <w:ind w:firstLine="650" w:firstLineChars="200"/>
        <w:rPr>
          <w:sz w:val="32"/>
          <w:szCs w:val="32"/>
        </w:rPr>
      </w:pPr>
      <w:r>
        <w:rPr>
          <w:sz w:val="32"/>
          <w:szCs w:val="32"/>
        </w:rPr>
        <w:t>在现有在运营91座加油站基础上，全区新规划加油站5座，迁建5座，扩建4座，调整17座，到规划期末，全区加油站总数控制在122座左右。</w:t>
      </w:r>
    </w:p>
    <w:p>
      <w:pPr>
        <w:ind w:firstLine="650" w:firstLineChars="200"/>
        <w:outlineLvl w:val="3"/>
        <w:rPr>
          <w:sz w:val="32"/>
          <w:szCs w:val="32"/>
        </w:rPr>
      </w:pPr>
      <w:r>
        <w:rPr>
          <w:sz w:val="32"/>
          <w:szCs w:val="32"/>
        </w:rPr>
        <w:t>4.4.2.4长寿区</w:t>
      </w:r>
    </w:p>
    <w:p>
      <w:pPr>
        <w:ind w:firstLine="650" w:firstLineChars="200"/>
        <w:rPr>
          <w:sz w:val="32"/>
          <w:szCs w:val="32"/>
        </w:rPr>
      </w:pPr>
      <w:r>
        <w:rPr>
          <w:sz w:val="32"/>
          <w:szCs w:val="32"/>
        </w:rPr>
        <w:t>长寿区地处重庆腹心，襟长江而临主城，全区幅员面积1423.62平方公里，辖7个街道、12个镇，常住人口86.2万，比上年末增加0.7万，其中城镇常住人口58.46万，城镇化率67.82%。户籍人口89.1万人，其中，城镇人口38.7万人，乡村人口50.4万人。全年地区生产总值701.2亿元，按可比价计算，比上年增长8.8%。其中，第一产业增加值51.8亿元，增长3.5%；第二产业增加值402.8亿元，增长11.2%；第三产业增加值246.6亿元，增长6.2%。三次产业结构比为7.4:57.5:35.1。非公有制经济增加值456.7亿元、增长13.1%，占GDP比重65.1%。</w:t>
      </w:r>
    </w:p>
    <w:p>
      <w:pPr>
        <w:ind w:firstLine="650" w:firstLineChars="200"/>
        <w:rPr>
          <w:sz w:val="32"/>
          <w:szCs w:val="32"/>
        </w:rPr>
      </w:pPr>
      <w:r>
        <w:rPr>
          <w:sz w:val="32"/>
          <w:szCs w:val="32"/>
        </w:rPr>
        <w:t>在现有在运营39座加油站基础上，全区新规划加油站21座，到规划期末，全区加油站总数控制在60座左右。</w:t>
      </w:r>
    </w:p>
    <w:p>
      <w:pPr>
        <w:ind w:firstLine="650" w:firstLineChars="200"/>
        <w:outlineLvl w:val="3"/>
        <w:rPr>
          <w:sz w:val="32"/>
          <w:szCs w:val="32"/>
        </w:rPr>
      </w:pPr>
      <w:r>
        <w:rPr>
          <w:sz w:val="32"/>
          <w:szCs w:val="32"/>
        </w:rPr>
        <w:t>4.4.2.5江津区</w:t>
      </w:r>
    </w:p>
    <w:p>
      <w:pPr>
        <w:ind w:firstLine="650" w:firstLineChars="200"/>
        <w:rPr>
          <w:sz w:val="32"/>
          <w:szCs w:val="32"/>
        </w:rPr>
      </w:pPr>
      <w:r>
        <w:rPr>
          <w:sz w:val="32"/>
          <w:szCs w:val="32"/>
        </w:rPr>
        <w:t>江津区位于重庆市西南部，是长江上游重要的航运枢纽和物资集散地。江津区东邻巴南区、綦江区，南界贵州省习水县，西接永川区、四川省合江县，北靠璧山区、九龙坡区、大渡口区，幅员面积3219平方公里，辖4个街道、25个镇。截至2020年，全区户籍人口148.17万人，常住人口136.09万人。江津交通方便快捷，形成了公路、铁路、水路畅通的交通网络。江津是渝川黔结合部的重要交通枢纽和物资集散地，紧邻成渝、渝泸和渝黔高速公路，重庆绕城高速公路在江津境内有73公里、渝湘高速公路在江津境内有47公里。连接重庆华福大道的九江大道开通后，江津融入重庆主城的步伐大大加快，成渝铁路和渝黔铁路在江津交汇，铁路总里程达135公里，成渝铁路、渝黔铁路在江津境内设有15个火车站。拟建的城市铁路南北贯穿全境，规划的城市轻轨5号线直达江津主城，把江津主城与重庆主城紧密连接。2020年，全区实现地区生产总值1109亿元；实现一般公共预算收入61.2亿元；规模工业总产值达到1357.4亿元；实现社会消费品零售总额324.4亿元；全年游客接待量达1284.2万人次;全区旅游综合收入75.6亿元；城镇居民人均可支配收入41699元；农村居民人均可支配收入21698元。</w:t>
      </w:r>
    </w:p>
    <w:p>
      <w:pPr>
        <w:ind w:firstLine="650" w:firstLineChars="200"/>
        <w:rPr>
          <w:sz w:val="32"/>
          <w:szCs w:val="32"/>
        </w:rPr>
      </w:pPr>
      <w:r>
        <w:rPr>
          <w:sz w:val="32"/>
          <w:szCs w:val="32"/>
        </w:rPr>
        <w:t>在现有在运营73座加油站基础上，全区新规划加油站29座，迁建6座，扩建2座，到规划期末，全区加油站总数控制在110座左右。</w:t>
      </w:r>
    </w:p>
    <w:p>
      <w:pPr>
        <w:ind w:firstLine="650" w:firstLineChars="200"/>
        <w:outlineLvl w:val="3"/>
        <w:rPr>
          <w:sz w:val="32"/>
          <w:szCs w:val="32"/>
        </w:rPr>
      </w:pPr>
      <w:r>
        <w:rPr>
          <w:sz w:val="32"/>
          <w:szCs w:val="32"/>
        </w:rPr>
        <w:t>4.4.2.6合川区</w:t>
      </w:r>
    </w:p>
    <w:p>
      <w:pPr>
        <w:ind w:firstLine="650" w:firstLineChars="200"/>
        <w:rPr>
          <w:sz w:val="32"/>
          <w:szCs w:val="32"/>
        </w:rPr>
      </w:pPr>
      <w:r>
        <w:rPr>
          <w:sz w:val="32"/>
          <w:szCs w:val="32"/>
        </w:rPr>
        <w:t>合川位于重庆西北部，是重庆通往四川、陕西、甘肃等地的交通要道和渝西北、川东北的交通枢纽。距中心城区58公里。 是“一带一路”和长江经济带交汇的关键节点，是渝新欧大陆通道入渝第一站、重庆向西开放的桥头堡。合川2019年全区实现生产总值912.5亿元，增长8.9%，第一产业增加值90.05亿元，增长3.0%。第二产业增加值431.97亿元，增长11.8%。第三产业增加值390.49亿元，增长7.0%。</w:t>
      </w:r>
    </w:p>
    <w:p>
      <w:pPr>
        <w:ind w:firstLine="650" w:firstLineChars="200"/>
        <w:rPr>
          <w:sz w:val="32"/>
          <w:szCs w:val="32"/>
        </w:rPr>
      </w:pPr>
      <w:r>
        <w:rPr>
          <w:sz w:val="32"/>
          <w:szCs w:val="32"/>
        </w:rPr>
        <w:t>在现有在运营68座加油站基础上，全区新规划加油站29座，迁建4座，到“十四五”末，全区加油站总数控制在101座左右。</w:t>
      </w:r>
    </w:p>
    <w:p>
      <w:pPr>
        <w:ind w:firstLine="650" w:firstLineChars="200"/>
        <w:outlineLvl w:val="3"/>
        <w:rPr>
          <w:sz w:val="32"/>
          <w:szCs w:val="32"/>
        </w:rPr>
      </w:pPr>
      <w:r>
        <w:rPr>
          <w:sz w:val="32"/>
          <w:szCs w:val="32"/>
        </w:rPr>
        <w:t>4.4.2.7永川区</w:t>
      </w:r>
    </w:p>
    <w:p>
      <w:pPr>
        <w:ind w:firstLine="650" w:firstLineChars="200"/>
        <w:rPr>
          <w:sz w:val="32"/>
          <w:szCs w:val="32"/>
        </w:rPr>
      </w:pPr>
      <w:r>
        <w:rPr>
          <w:sz w:val="32"/>
          <w:szCs w:val="32"/>
        </w:rPr>
        <w:t>永川区是川渝经济带上的区域中心城市之一，全区幅员面积1576平方公里，现辖23乡镇（街镇），户籍人口114万人。全区地区生产总值1012.4亿元，按可比价计算，比上年增长4.6%。第一产业增加值77.9亿元，比上年增长4.0%。第二产业增加值541.5亿元，比上年增长5.7%。其中，工业增加值419.2亿元，比上年增长6.1%。第三产业增加值393.0亿元，比上年增长3.2%。三次产业结构由2019年的7.1:52.6:40.3调整为7.7:53.5:38.8。2020年永川区在册车辆为28.7万辆。</w:t>
      </w:r>
    </w:p>
    <w:p>
      <w:pPr>
        <w:ind w:firstLine="650" w:firstLineChars="200"/>
        <w:rPr>
          <w:sz w:val="32"/>
          <w:szCs w:val="32"/>
        </w:rPr>
      </w:pPr>
      <w:r>
        <w:rPr>
          <w:sz w:val="32"/>
          <w:szCs w:val="32"/>
        </w:rPr>
        <w:t>在现有在运营74座加油站基础上，全区新规划加油站12座，迁建3座，调整14座，到规划期末，全区加油站总数控制在103座左右。</w:t>
      </w:r>
    </w:p>
    <w:p>
      <w:pPr>
        <w:ind w:firstLine="650" w:firstLineChars="200"/>
        <w:outlineLvl w:val="3"/>
        <w:rPr>
          <w:sz w:val="32"/>
          <w:szCs w:val="32"/>
        </w:rPr>
      </w:pPr>
      <w:r>
        <w:rPr>
          <w:sz w:val="32"/>
          <w:szCs w:val="32"/>
        </w:rPr>
        <w:t>4.4.2.8南川区</w:t>
      </w:r>
    </w:p>
    <w:p>
      <w:pPr>
        <w:ind w:firstLine="650" w:firstLineChars="200"/>
        <w:rPr>
          <w:sz w:val="32"/>
          <w:szCs w:val="32"/>
        </w:rPr>
      </w:pPr>
      <w:r>
        <w:rPr>
          <w:sz w:val="32"/>
          <w:szCs w:val="32"/>
        </w:rPr>
        <w:t>南川区位于重庆市南部，总面积2602平方公里，辖3个街道办事处、29个镇、2个乡，60个居委会，184个村委会，全区总人口为68.65万人。2019年，地区生产总值达到333.95亿元，增长7.5%，一般公共预算收23.24亿元，比上年增长2.5%。其中税收收入13.97亿元，增长7.6%；一般公共预算支出65.86亿元，比上年增长11.3%。全区居民人均可支配收入达28642元，同比增长9.71%，城镇常住居民人均可支配收入36724元，增长7.8%；农村常住居民人均可支配收入16079元，增长9.9%；全区常住居民人均消费支出18813元，比上年增长8.7%，城镇常住居民人均消费22949元，增长7.8%；农村常住居民人均生活消费支出12348元，增长7.2%，总体经济呈稳步快速增长态势。2019年公路总里程已达到4307公里，其中国道（高速）110公里、二级公路454公里、三级公路262公里、四级公路2969公里、等外公路512公里。乡镇通畅率、行政村通畅率均达100%，公路密度为1.65公里/平方公里，公路等级以三、四级为主，二级及以上仅占13%。2019年，全区各种机动车辆保有量达到164477辆，比上年增长7.2%，其中：载客汽车67470辆、载货汽车11865辆、其他汽车500辆、摩托车84136辆、农用运输车及挂车506辆。</w:t>
      </w:r>
    </w:p>
    <w:p>
      <w:pPr>
        <w:ind w:firstLine="650" w:firstLineChars="200"/>
        <w:rPr>
          <w:sz w:val="32"/>
          <w:szCs w:val="32"/>
        </w:rPr>
      </w:pPr>
      <w:r>
        <w:rPr>
          <w:sz w:val="32"/>
          <w:szCs w:val="32"/>
        </w:rPr>
        <w:t>在现有在运营49座加油站基础上，全区新规划加油站15座，迁建4座，扩建1座，到规划期末，到“十四五”末，全区加油站总数控制在94座左右。</w:t>
      </w:r>
    </w:p>
    <w:p>
      <w:pPr>
        <w:ind w:firstLine="650" w:firstLineChars="200"/>
        <w:outlineLvl w:val="3"/>
        <w:rPr>
          <w:sz w:val="32"/>
          <w:szCs w:val="32"/>
        </w:rPr>
      </w:pPr>
      <w:r>
        <w:rPr>
          <w:sz w:val="32"/>
          <w:szCs w:val="32"/>
        </w:rPr>
        <w:t>4.4.2.9綦江区</w:t>
      </w:r>
    </w:p>
    <w:p>
      <w:pPr>
        <w:ind w:firstLine="650" w:firstLineChars="200"/>
        <w:rPr>
          <w:sz w:val="32"/>
          <w:szCs w:val="32"/>
        </w:rPr>
      </w:pPr>
      <w:r>
        <w:rPr>
          <w:sz w:val="32"/>
          <w:szCs w:val="32"/>
        </w:rPr>
        <w:t>綦江区位于重庆市南部，全区幅员面积2182平方公里，现辖20个乡镇（街道），全区城镇常住人口49万人，城镇化率59.5%。全区经济总量、质量和效益稳步提升，高质量发展态势良好。地区生产总值突破500亿元，年均增长8%，占全市比重由1.8%提高到2%以上。人均地区生产总值超过6万元，年均增长11.7%；社会消费品零售总额由2015年末的102.98亿元增加到206.13亿元，年均增长14.89%；固定资产投资完成138亿元，年均增长12.9%。。2020年，全区公路里程（不含高速）5425公里，比2015年末4504公里增加921公里，增幅为20.4%。其中，高速公路124公里，国省干线公路435公里，农村公路4990公里。道路交通网络纵横交错，四通八达。“十三五”期间，全区机动车保持量持续增长。2020年末，全区机动车保有量265948辆。其中，摩托车108785辆，汽车150752辆，比2015年的155187辆增加110761辆，增幅71.37%。过境机动车年达38万余辆/次。 “十三五”期间，全区成品油消费量呈现逐年递增趋势，从2015年的8.5万吨增长到2020年的12.5万吨，增长4万吨。其中，汽油消费量从2015年的4.5万吨增长到2020年的6.5万吨，增长2万吨；柴油消费量从2015年的4万吨增长到2020年的6万吨，增长2万吨。</w:t>
      </w:r>
    </w:p>
    <w:p>
      <w:pPr>
        <w:ind w:firstLine="650" w:firstLineChars="200"/>
        <w:rPr>
          <w:sz w:val="32"/>
          <w:szCs w:val="32"/>
        </w:rPr>
      </w:pPr>
      <w:r>
        <w:rPr>
          <w:sz w:val="32"/>
          <w:szCs w:val="32"/>
        </w:rPr>
        <w:t>在现有在运营48座加油站基础上，全区新规划加油站10座，到“十四五”末，全区加油站总数控制在58座左右。</w:t>
      </w:r>
    </w:p>
    <w:p>
      <w:pPr>
        <w:ind w:firstLine="650" w:firstLineChars="200"/>
        <w:outlineLvl w:val="3"/>
        <w:rPr>
          <w:sz w:val="32"/>
          <w:szCs w:val="32"/>
        </w:rPr>
      </w:pPr>
      <w:r>
        <w:rPr>
          <w:sz w:val="32"/>
          <w:szCs w:val="32"/>
        </w:rPr>
        <w:t>4.4.2.10万盛经开区</w:t>
      </w:r>
    </w:p>
    <w:p>
      <w:pPr>
        <w:ind w:firstLine="650" w:firstLineChars="200"/>
        <w:rPr>
          <w:sz w:val="32"/>
          <w:szCs w:val="32"/>
        </w:rPr>
      </w:pPr>
      <w:r>
        <w:rPr>
          <w:sz w:val="32"/>
          <w:szCs w:val="32"/>
        </w:rPr>
        <w:t>万盛经济技术开发区位于重庆市南部、渝黔边界，全区幅员面积565.76平方公里，现辖10个乡镇（街道），2020年常住人口23.59万人，城镇化率79.27%。“十三五”末，全区GDP实现213.97亿元，年均增长7%；人均GDP达到1.3万美元，超过全市平均水平，居綦万南第1位，是“十二五”末的1.55倍，年均增长5.8%；工业增加值85.8亿元，是“十二五”末的1.64倍，年均增长8%，对GDP增长贡献率达61.7%；社会消费品零售总额103.7亿元，是“十二五”末的2.5倍，年均增长20.3%。“十三五”时期，累计实现地方一般公共预算收入58亿元，较“十二五”增长30.5%。全区公路总里程达1293.6公里，较“十二五”末增长15.2%，形成“三纵三横”普通干线交通网络和城乡交通路网，成功创建全国“四好农村路”示范区县；渝黔高速公路扩能项目（万盛段）完成总投资的85%，万正高速、广涪柳铁路、渝贵高铁和江南支线机场纳入全市规划。“十三五”期间，万盛经开区登记注册的汽车保有量为16.83万辆。结合近五年的数据来比较，共增加了9.68万量，年平均增长率达到18.6%。“十三五”期间，万盛经开区加油站共计销售成品油约21.1万吨，其中汽油约10.3万吨，柴油约10.8万吨。全区成品油年均销售量由“十二五”期间的3.6万吨，增长到4.2万吨，增幅约16.6%。其中，汽油年均销售量由1.4万吨增长到2.1万吨，增幅约50%；柴油年均销售量由2.24万吨下降到2.16万吨，下降约3.6%。</w:t>
      </w:r>
    </w:p>
    <w:p>
      <w:pPr>
        <w:ind w:firstLine="650" w:firstLineChars="200"/>
        <w:rPr>
          <w:sz w:val="32"/>
          <w:szCs w:val="32"/>
        </w:rPr>
      </w:pPr>
      <w:r>
        <w:rPr>
          <w:sz w:val="32"/>
          <w:szCs w:val="32"/>
        </w:rPr>
        <w:t>在现有在运营15座加油站基础上，全区新规划加油站8座，迁建1座，调整6座，到规划期末，全区加油站总数控制在30座左右。</w:t>
      </w:r>
    </w:p>
    <w:p>
      <w:pPr>
        <w:ind w:firstLine="650" w:firstLineChars="200"/>
        <w:outlineLvl w:val="3"/>
        <w:rPr>
          <w:sz w:val="32"/>
          <w:szCs w:val="32"/>
        </w:rPr>
      </w:pPr>
      <w:r>
        <w:rPr>
          <w:sz w:val="32"/>
          <w:szCs w:val="32"/>
        </w:rPr>
        <w:t>4.4.2.11大足区</w:t>
      </w:r>
    </w:p>
    <w:p>
      <w:pPr>
        <w:ind w:firstLine="650" w:firstLineChars="200"/>
        <w:rPr>
          <w:sz w:val="32"/>
          <w:szCs w:val="32"/>
        </w:rPr>
      </w:pPr>
      <w:r>
        <w:rPr>
          <w:sz w:val="32"/>
          <w:szCs w:val="32"/>
        </w:rPr>
        <w:t>大足区位于重庆西部，东距重庆55公里，西离成都155公里，北临潼南，东北接铜梁，东南邻永川，西南界荣昌，西北连四川安岳县。地处成渝腹心，是成渝地区双城经济圈发展主轴上的重要节点。全区幅员面积1436平方公里，辖27个镇街，总人口107万。2019年，大足区生产总值（GDP）增速高于全国1.6个百分点、高于全市1.4个百分点，总量达到645.6亿元，首次突破600亿大关，同比（下同）增长7.7%，2019年在重庆市各区GDP排行榜排17名，增速排15名。其中：第三产业实现增加值235.2亿元，增长7.9%，服务业比重逐渐提高。三次产业结构比从9.5：53.8：36.7进一步优化为8.2：55.4：36.4。截止到2019年9月，大足区2019年年底区域内现有公路总里程为3194.53公里，截止到2020年7月，大足区机动车保有量为18.99万辆，其中汽车12.21万辆，摩托车6.70万辆，其他机动车0.07万辆，机动车辆发展呈迅速发展态势。大足2015—2019年五年间汽车保有量年均增长率为9.87%。2016—2019年间大足区成品油销售量平均增长率为2.52%，整体需求保持稳定增长。</w:t>
      </w:r>
    </w:p>
    <w:p>
      <w:pPr>
        <w:ind w:firstLine="650" w:firstLineChars="200"/>
        <w:rPr>
          <w:sz w:val="32"/>
          <w:szCs w:val="32"/>
        </w:rPr>
      </w:pPr>
      <w:r>
        <w:rPr>
          <w:sz w:val="32"/>
          <w:szCs w:val="32"/>
        </w:rPr>
        <w:t>在现有在运营35座加油站基础上，全区新规划加油站21座，调整4座，到规划期末，全区加油站总数控制在60座左右。</w:t>
      </w:r>
    </w:p>
    <w:p>
      <w:pPr>
        <w:ind w:firstLine="650" w:firstLineChars="200"/>
        <w:outlineLvl w:val="3"/>
        <w:rPr>
          <w:sz w:val="32"/>
          <w:szCs w:val="32"/>
        </w:rPr>
      </w:pPr>
      <w:r>
        <w:rPr>
          <w:sz w:val="32"/>
          <w:szCs w:val="32"/>
        </w:rPr>
        <w:t>4.4.2.12璧山区</w:t>
      </w:r>
    </w:p>
    <w:p>
      <w:pPr>
        <w:ind w:firstLine="650" w:firstLineChars="200"/>
        <w:rPr>
          <w:sz w:val="32"/>
          <w:szCs w:val="32"/>
        </w:rPr>
      </w:pPr>
      <w:r>
        <w:rPr>
          <w:sz w:val="32"/>
          <w:szCs w:val="32"/>
        </w:rPr>
        <w:t>璧山区位于重庆西部，东连九龙坡区、沙坪坝区，南界江津区，西临永川区、大足区，北靠铜梁区、合川区、北碚区。璧山区幅员面积915平方公里，辖6个街道、9个镇；常住人口为72万人。2020 年全年完成地区生产总值 747.10 亿元，按三次产业分，第一产业增加值 39.40 亿元，第二产业增加值 394.70亿元，第三产业增加值 312.90 亿元，三次产业结构比5.3:52.8:41.9。按常住人口计算，全区人均地区生产总值突破1.4 万美元。全区总户数 25.83 万户，总人口（户籍人口）65.11万人，其中城镇人口 34.28 万人，乡村人口 30.83 万人。全年完成社会消费品零售总额 277.80 亿元，完成固定资产投资540.10 亿元，地方财政收入达到 147.90 亿元，一般公共预算收入 50.60 亿元，全体居民人均可支配收入 35418 元。2020 年末，璧山区公路里程达到2364 公里，其中等级公路 1784 公里。“十三五”期间璧山区成品油企业销售总量为 68.90 万吨，其中：汽油约 39.97 万吨，占销售总量的 58.01%，年均增长率为 6.01%；柴油约 28.93 万吨，占销售总量的 41.99%，年均增长率为-9.21%。2020 年成品油销售总量为 13.57 万吨，成品油消费总量较 2015 年总量略有下降。2020 年，璧山区汽车保有量 177779 辆，同比增长 26.9%，呈爆发式增长趋势，人均汽车保有量 245.1 辆/千人。</w:t>
      </w:r>
    </w:p>
    <w:p>
      <w:pPr>
        <w:ind w:firstLine="650" w:firstLineChars="200"/>
        <w:rPr>
          <w:sz w:val="32"/>
          <w:szCs w:val="32"/>
        </w:rPr>
      </w:pPr>
      <w:r>
        <w:rPr>
          <w:sz w:val="32"/>
          <w:szCs w:val="32"/>
        </w:rPr>
        <w:t>在现有在运营37座加油站基础上，全区新规划加油站13座，迁建4座，到规划期末，全区加油站总数控制在54座左右。</w:t>
      </w:r>
    </w:p>
    <w:p>
      <w:pPr>
        <w:ind w:firstLine="650" w:firstLineChars="200"/>
        <w:outlineLvl w:val="3"/>
        <w:rPr>
          <w:sz w:val="32"/>
          <w:szCs w:val="32"/>
        </w:rPr>
      </w:pPr>
      <w:r>
        <w:rPr>
          <w:sz w:val="32"/>
          <w:szCs w:val="32"/>
        </w:rPr>
        <w:t>4.4.2.13铜梁区</w:t>
      </w:r>
    </w:p>
    <w:p>
      <w:pPr>
        <w:ind w:firstLine="650" w:firstLineChars="200"/>
        <w:rPr>
          <w:sz w:val="32"/>
          <w:szCs w:val="32"/>
        </w:rPr>
      </w:pPr>
      <w:r>
        <w:rPr>
          <w:sz w:val="32"/>
          <w:szCs w:val="32"/>
        </w:rPr>
        <w:t>铜梁区位于成渝经济区腹心地带，处渝西地区中心位置，全区幅员面积1334平方公里，现辖18个乡镇（街道），全区户籍人口总户数32.85万户，总人口84.90万人。其中，城镇人口40.28万人，乡村人口44.62万人。2020全年实现地区生产总值661.02亿元，比上年增长4.4%。其中，第一产业实现增加值58.32亿元，增长4.3%；第二产业实现增加值366.46亿元，增长6.1%；第三产业实现增加值236.25亿元，增长2.0%。三次产业结构为8.8:55.4:35.8。</w:t>
      </w:r>
    </w:p>
    <w:p>
      <w:pPr>
        <w:ind w:firstLine="650" w:firstLineChars="200"/>
        <w:rPr>
          <w:sz w:val="32"/>
          <w:szCs w:val="32"/>
        </w:rPr>
      </w:pPr>
      <w:r>
        <w:rPr>
          <w:sz w:val="32"/>
          <w:szCs w:val="32"/>
        </w:rPr>
        <w:t>在现有在运营44座加油站基础上，全区新规划加油站18座，扩建1座，到规划期末，全区加油站总数控制在63座左右。</w:t>
      </w:r>
    </w:p>
    <w:p>
      <w:pPr>
        <w:ind w:firstLine="650" w:firstLineChars="200"/>
        <w:outlineLvl w:val="3"/>
        <w:rPr>
          <w:sz w:val="32"/>
          <w:szCs w:val="32"/>
        </w:rPr>
      </w:pPr>
      <w:r>
        <w:rPr>
          <w:sz w:val="32"/>
          <w:szCs w:val="32"/>
        </w:rPr>
        <w:t>4.4.2.14潼南区</w:t>
      </w:r>
    </w:p>
    <w:p>
      <w:pPr>
        <w:ind w:firstLine="650" w:firstLineChars="200"/>
        <w:rPr>
          <w:sz w:val="32"/>
          <w:szCs w:val="32"/>
        </w:rPr>
      </w:pPr>
      <w:r>
        <w:rPr>
          <w:sz w:val="32"/>
          <w:szCs w:val="32"/>
        </w:rPr>
        <w:t>潼南位于重庆西北部，地处成渝两个特大型城市的中心地带，东邻合川、铜梁，南接大足、西连安岳、北靠遂宁，距重庆90公里，成都160公里，是重庆西北的重要门户和成渝经济带上的重要节点。幅员面积1583平方公里，辖20个乡镇、2个街道，15个社区、281个行政村，总人口102万人。2020年，全区国民生产总值475.26亿元，地方预算内财政收入50.70亿元，社会消费品零售总额259.01亿元，城镇常住居民人均可支配收入38332元，农村常住居民人均可支配收入18055元。截止2020年底，潼南区公路硬化总里程6054公里，其中高速公路151公里，国道147公里，省道218公里。全区等级航道里程达到51公里，其中Ⅴ级航道里程44公里（涪江三块石大坝至下麻柳沟）。“十三五”期间，随着潼南区社会经济的迅速发展，成品油的需求快速增长，成品油消费量由“十三五”规划之前的85000余吨增加到2020年底的10万余吨，增长3.5%。</w:t>
      </w:r>
    </w:p>
    <w:p>
      <w:pPr>
        <w:ind w:firstLine="650" w:firstLineChars="200"/>
        <w:rPr>
          <w:sz w:val="32"/>
          <w:szCs w:val="32"/>
        </w:rPr>
      </w:pPr>
      <w:r>
        <w:rPr>
          <w:sz w:val="32"/>
          <w:szCs w:val="32"/>
        </w:rPr>
        <w:t>在现有在运营32座加油站基础上，全区新规划加油站14座，迁建1座，到规划期末，全区加油站总数控制在47座左右。</w:t>
      </w:r>
    </w:p>
    <w:p>
      <w:pPr>
        <w:ind w:firstLine="650" w:firstLineChars="200"/>
        <w:outlineLvl w:val="3"/>
        <w:rPr>
          <w:sz w:val="32"/>
          <w:szCs w:val="32"/>
        </w:rPr>
      </w:pPr>
      <w:r>
        <w:rPr>
          <w:sz w:val="32"/>
          <w:szCs w:val="32"/>
        </w:rPr>
        <w:t>4.4.2.15荣昌区</w:t>
      </w:r>
    </w:p>
    <w:p>
      <w:pPr>
        <w:ind w:firstLine="650" w:firstLineChars="200"/>
        <w:rPr>
          <w:sz w:val="32"/>
          <w:szCs w:val="32"/>
        </w:rPr>
      </w:pPr>
      <w:r>
        <w:rPr>
          <w:sz w:val="32"/>
          <w:szCs w:val="32"/>
        </w:rPr>
        <w:t>荣昌区地处成渝经济带结合部，全区幅员面积1079平方公里，现辖21个乡镇（街道），2020年末全区户籍户数31.23万户，户籍人口84.71万人。2020全年实现地区生产总值7097956万元，比上年增长4.9%。按产业分，第一产业增加值642633万元，增长6.7%；第二产业增加值3829601万元，增长6.5%；第三产业增加值2625722万元，增长2.2%。第一产业增加值占地区生产总值的比重为9.1%，比上年上升0.8个百分点；第二产业增加值比重为54.0%，比上年上升0.7个百分点；第三产业增加值比重为36.9%，比上年下降1.5百分点。  2020年底全区公路总里程2659.16公里。按行政等级划分：国道（高速公路）100.39公里，省道215.83公里，县道135.29公里，乡道293.81公里，专用公路11.33公里，村道1902.52公里。“十三五”末，全区机动车保有量14.5万台，其中汽车保有量5万辆；日均过境机动车4万辆左右。</w:t>
      </w:r>
    </w:p>
    <w:p>
      <w:pPr>
        <w:ind w:firstLine="650" w:firstLineChars="200"/>
        <w:rPr>
          <w:sz w:val="32"/>
          <w:szCs w:val="32"/>
        </w:rPr>
      </w:pPr>
      <w:r>
        <w:rPr>
          <w:sz w:val="32"/>
          <w:szCs w:val="32"/>
        </w:rPr>
        <w:t>在现有在运营36座加油站基础上，全区新规划加油站6座，迁建1座，调整7座，到规划期末，全区加油站总数控制在50座左右。</w:t>
      </w:r>
    </w:p>
    <w:p>
      <w:pPr>
        <w:ind w:firstLine="650" w:firstLineChars="200"/>
        <w:outlineLvl w:val="3"/>
        <w:rPr>
          <w:sz w:val="32"/>
          <w:szCs w:val="32"/>
        </w:rPr>
      </w:pPr>
      <w:r>
        <w:rPr>
          <w:sz w:val="32"/>
          <w:szCs w:val="32"/>
        </w:rPr>
        <w:t>4.4.2.16开州区</w:t>
      </w:r>
    </w:p>
    <w:p>
      <w:pPr>
        <w:ind w:firstLine="650" w:firstLineChars="200"/>
        <w:rPr>
          <w:sz w:val="32"/>
          <w:szCs w:val="32"/>
        </w:rPr>
      </w:pPr>
      <w:r>
        <w:rPr>
          <w:sz w:val="32"/>
          <w:szCs w:val="32"/>
        </w:rPr>
        <w:t>开州区全区面积 3963 平方公里；辖 40 个乡镇（街道），109 个社区，426 个行政村；人口 168.6 万。2020年底，地区生产总值（GDP）达到 505.59 亿元；农村居民人均可支配收入 1.488 万元，城镇居民可支配收入 3.376万元；城乡居民储蓄存款余额 679.81 亿元;地方财政总收入 25.3亿元; 社会消费品零售总额 287.04 亿元；固定资产投资 153 亿元。到 2020 年底，全区机动车保有量达到 231274 辆，其中汽车 128788辆，摩托车 102396 辆，挂车 90 辆。比“十二五”期间总量增长 40.7%，年均增长 7%。机动车年过境量为 24.3 万辆。主要道路日均车流量22000 多辆。全区公路总里程达到 8040 公里，其中，二级公路 302公里，三级公路 88 公里，四级公路 4187 公里，等外公路 3456 公里；在运营高速公路 60 公里，在建开城高速 75 公里；国道 289公里，省道 316 公里，县道 259 公里，乡道 787 公里，村道 6388公里。“十三五”期间成品油消费量达到 66.95 万吨，其中汽油 31.89万吨，柴油 35.06 万吨；年均消费量为 13.39 万吨，其中汽油 6.38万吨，柴油 7.01 万吨；成品油年均增长 10.12%，其中，汽油年均增长 11.02%，柴油年均增长 9.58%。比“十二五”期间总量增长20.6%，其中，汽油增长 55.1%，柴油增长 47.9%。</w:t>
      </w:r>
    </w:p>
    <w:p>
      <w:pPr>
        <w:ind w:firstLine="650" w:firstLineChars="200"/>
        <w:rPr>
          <w:sz w:val="32"/>
          <w:szCs w:val="32"/>
        </w:rPr>
      </w:pPr>
      <w:r>
        <w:rPr>
          <w:sz w:val="32"/>
          <w:szCs w:val="32"/>
        </w:rPr>
        <w:t>在现有在运营68座加油站基础上，全区新规划加油站32座，迁建5座，扩建2座，到规划期末，全区加油站总数控制在107座左右。</w:t>
      </w:r>
    </w:p>
    <w:p>
      <w:pPr>
        <w:ind w:firstLine="650" w:firstLineChars="200"/>
        <w:outlineLvl w:val="3"/>
        <w:rPr>
          <w:sz w:val="32"/>
          <w:szCs w:val="32"/>
        </w:rPr>
      </w:pPr>
      <w:r>
        <w:rPr>
          <w:sz w:val="32"/>
          <w:szCs w:val="32"/>
        </w:rPr>
        <w:t>4.4.2.17梁平县</w:t>
      </w:r>
    </w:p>
    <w:p>
      <w:pPr>
        <w:ind w:firstLine="650" w:firstLineChars="200"/>
        <w:rPr>
          <w:sz w:val="32"/>
          <w:szCs w:val="32"/>
        </w:rPr>
      </w:pPr>
      <w:r>
        <w:rPr>
          <w:sz w:val="32"/>
          <w:szCs w:val="32"/>
        </w:rPr>
        <w:t>梁平县位于重庆市东北部，东邻万州区，西连四川省大竹县，南靠忠县、垫江县，北接四川省达州市、开江县。全县幅员面积1892平方公里,总人口93万人。2020年地区生产总值493.2亿元，同比增长3.1％。按产业分，第一产业增加值59.5亿元，增长4.9%；第二产业增加值242.6亿元，增长2.5%；第三产业增加值191.1亿元，增长3.3%。地方公共预算收入20.9亿元，增长3.0%；常住居民年人均可支配收入达到28475元，增长8.1%。</w:t>
      </w:r>
    </w:p>
    <w:p>
      <w:pPr>
        <w:ind w:firstLine="650" w:firstLineChars="200"/>
        <w:rPr>
          <w:sz w:val="32"/>
          <w:szCs w:val="32"/>
        </w:rPr>
      </w:pPr>
      <w:r>
        <w:rPr>
          <w:sz w:val="32"/>
          <w:szCs w:val="32"/>
        </w:rPr>
        <w:t>在现有在运营41座加油站基础上，全县新规划加油站7座，调整3座，到规划期末，全县加油站总数控制在51座左右。</w:t>
      </w:r>
    </w:p>
    <w:p>
      <w:pPr>
        <w:ind w:firstLine="650" w:firstLineChars="200"/>
        <w:outlineLvl w:val="3"/>
        <w:rPr>
          <w:sz w:val="32"/>
          <w:szCs w:val="32"/>
        </w:rPr>
      </w:pPr>
      <w:r>
        <w:rPr>
          <w:sz w:val="32"/>
          <w:szCs w:val="32"/>
        </w:rPr>
        <w:t>4.4.2.18武隆区</w:t>
      </w:r>
    </w:p>
    <w:p>
      <w:pPr>
        <w:ind w:firstLine="650" w:firstLineChars="200"/>
        <w:rPr>
          <w:sz w:val="32"/>
          <w:szCs w:val="32"/>
        </w:rPr>
      </w:pPr>
      <w:r>
        <w:rPr>
          <w:sz w:val="32"/>
          <w:szCs w:val="32"/>
        </w:rPr>
        <w:t>武隆区幅员面积2901平方公里，现辖26个乡镇，常住人口39.91万人。2020年，全年全区地区生产总值224亿元，其中第一产业实现增加值30.74亿元，较上年增长4.8%；第二产业实现增加值85.97亿元，较上年增长7.1%；第三产业实现增加值107.51亿元，较上年增长1.5%。三次产业结构比为13.7:38.3:48.0；三次产业对GDP的贡献率分别为13.7%、67.0%、19.3%，分别拉动GDP增长0.5、2.7、0.8个百分点。2020年，全区有高速公路88.5公里，国道168公里，省道417公里，所有乡镇（街道）和重要工业园区、旅游景区国省道覆盖率100%。累计改造农村公路3500余公里，行政村通畅率100%、行政村通客率100%、村民小组通畅率100%。主要道路机动车日均交通流量约4.5万台。2020年，全区各种机动车辆保有量12万辆（台），年均递增15%，过境机动车为2.5万辆/日。</w:t>
      </w:r>
    </w:p>
    <w:p>
      <w:pPr>
        <w:ind w:firstLine="650" w:firstLineChars="200"/>
        <w:rPr>
          <w:sz w:val="32"/>
          <w:szCs w:val="32"/>
        </w:rPr>
      </w:pPr>
      <w:r>
        <w:rPr>
          <w:sz w:val="32"/>
          <w:szCs w:val="32"/>
        </w:rPr>
        <w:t>在现有在运营24座加油站基础上，全区新规划加油站6座，迁建1座，调整22座，到规划期末，全区加油站总数控制在53座左右。</w:t>
      </w:r>
    </w:p>
    <w:p>
      <w:pPr>
        <w:ind w:firstLine="650" w:firstLineChars="200"/>
        <w:outlineLvl w:val="3"/>
        <w:rPr>
          <w:sz w:val="32"/>
          <w:szCs w:val="32"/>
        </w:rPr>
      </w:pPr>
      <w:r>
        <w:rPr>
          <w:sz w:val="32"/>
          <w:szCs w:val="32"/>
        </w:rPr>
        <w:t>4.4.2.19城口县</w:t>
      </w:r>
    </w:p>
    <w:p>
      <w:pPr>
        <w:ind w:firstLine="650" w:firstLineChars="200"/>
        <w:rPr>
          <w:sz w:val="32"/>
          <w:szCs w:val="32"/>
        </w:rPr>
      </w:pPr>
      <w:r>
        <w:rPr>
          <w:sz w:val="32"/>
          <w:szCs w:val="32"/>
        </w:rPr>
        <w:t>城口县地处重庆市东北地区，为重庆最北端，幅员面积3286平方公里，现辖25个镇乡（街道），常住人口18.63万人。2019 年，全县实现地区生产总值 52.50 亿元，同比增长 6.0%。其中，第一产业增加值 10.52 亿元，同比增长 3.9%；第二产业增加值 9.52 亿元，同比增长 10.3%；第三产业增加值 32.46 亿元，同比增长 5.5%。按户籍人口计算，人均 GDP 为 20875 元（约 3026 美元）；批发和零售业销售额 31.08 亿元，同比增长14.5%；住宿和餐饮业营业收入 4.39 亿元，同比增长9.5%。全社会消费品零售总额 23.79 亿元，同比增长8.1%。2019年末全县公路总里程4266公里，其中省道283公里、县道239公里、乡道195公里、村道3393公里。2019年完成公路货物运输量 189 万吨，同比增长 4.4%；完成公路货物周转量 18428 万吨公里，同比增长 10.5%。完成公路旅客运输量 268 万人，同比增长 6.3%，完成旅客运输周转量 17591 万人公里，同比增长 0.02%2019年末全县在营19座加油站实际销售成品油（汽油、柴油）3.76万吨，到“十三五”末全县成品油消费量将达到3.8万吨以上，“十三五”期间年均增长12.06%。截止2020年7月30日止,城口县机动车保有量</w:t>
      </w:r>
      <w:bookmarkStart w:id="476" w:name="_Hlk56764281"/>
      <w:bookmarkEnd w:id="476"/>
      <w:r>
        <w:rPr>
          <w:sz w:val="32"/>
          <w:szCs w:val="32"/>
        </w:rPr>
        <w:t>28681辆,11.1辆/百人。</w:t>
      </w:r>
    </w:p>
    <w:p>
      <w:pPr>
        <w:ind w:firstLine="650" w:firstLineChars="200"/>
        <w:rPr>
          <w:sz w:val="32"/>
          <w:szCs w:val="32"/>
        </w:rPr>
      </w:pPr>
      <w:r>
        <w:rPr>
          <w:sz w:val="32"/>
          <w:szCs w:val="32"/>
        </w:rPr>
        <w:t>在现有在运营20座加油站基础上，全县新规划加油站6座，调整9座，到规划期末，全县加油站总数控制在35座左右。</w:t>
      </w:r>
    </w:p>
    <w:p>
      <w:pPr>
        <w:ind w:firstLine="650" w:firstLineChars="200"/>
        <w:outlineLvl w:val="3"/>
        <w:rPr>
          <w:sz w:val="32"/>
          <w:szCs w:val="32"/>
        </w:rPr>
      </w:pPr>
      <w:r>
        <w:rPr>
          <w:sz w:val="32"/>
          <w:szCs w:val="32"/>
        </w:rPr>
        <w:t>4.4.2.20丰都县</w:t>
      </w:r>
    </w:p>
    <w:p>
      <w:pPr>
        <w:ind w:firstLine="650" w:firstLineChars="200"/>
        <w:rPr>
          <w:sz w:val="32"/>
          <w:szCs w:val="32"/>
        </w:rPr>
      </w:pPr>
      <w:r>
        <w:rPr>
          <w:sz w:val="32"/>
          <w:szCs w:val="32"/>
        </w:rPr>
        <w:t xml:space="preserve">丰都县幅员面积2901平方公里，辖23个镇5个乡2个街道，总人口85万人，丰都是“成渝双城经济圈”重要节点城市、国家一类口岸，水陆交通四通八达，境内长江岸线47公里，万吨巨轮常年通航，是一座天然的邮轮母港，丰都距重庆中心城区仅120公里，拥有立体交通网络，具有“1小时重庆、4小时武汉、7小时上海”的独特区位优势。2019年，全年实现地区生产总值3058346万元，按不变价计算，同比增长6.4%，其中，第一产业增加值399785万元，同比增长4.0%；第二产业增加值1297730万元，同比增长5.3%；第三产业增加值1360831万元，同比增长8.2%。三次产业结构比为13.1：42.4:44.5。按常住人口计算，全年人均地区生产总值达到51924元，比上年提高4689元。“十三五”规划的前四年，丰都县汽车保有量大幅增长。截止2019年底，丰都县本地注册机动车保有量为108200辆，2016-2019年年均增长8.88%，千人机动车保有量约154辆。全年过境车辆达16.71万辆。 </w:t>
      </w:r>
    </w:p>
    <w:p>
      <w:pPr>
        <w:ind w:firstLine="650" w:firstLineChars="200"/>
        <w:rPr>
          <w:sz w:val="32"/>
          <w:szCs w:val="32"/>
        </w:rPr>
      </w:pPr>
      <w:r>
        <w:rPr>
          <w:sz w:val="32"/>
          <w:szCs w:val="32"/>
        </w:rPr>
        <w:t>在现有在运营35座加油站基础上，全县新规划加油站8座，迁建3座，调整27座，到规划期末，全县加油站总数控制在73座左右。</w:t>
      </w:r>
    </w:p>
    <w:p>
      <w:pPr>
        <w:ind w:firstLine="650" w:firstLineChars="200"/>
        <w:outlineLvl w:val="3"/>
        <w:rPr>
          <w:sz w:val="32"/>
          <w:szCs w:val="32"/>
        </w:rPr>
      </w:pPr>
      <w:r>
        <w:rPr>
          <w:sz w:val="32"/>
          <w:szCs w:val="32"/>
        </w:rPr>
        <w:t>4.4.2.21垫江县</w:t>
      </w:r>
    </w:p>
    <w:p>
      <w:pPr>
        <w:ind w:firstLine="430" w:firstLineChars="200"/>
        <w:rPr>
          <w:sz w:val="32"/>
          <w:szCs w:val="32"/>
        </w:rPr>
      </w:pPr>
      <w:r>
        <w:fldChar w:fldCharType="begin"/>
      </w:r>
      <w:r>
        <w:instrText xml:space="preserve"> HYPERLINK "http://baike.baidu.com/view/72225.htm" </w:instrText>
      </w:r>
      <w:r>
        <w:fldChar w:fldCharType="separate"/>
      </w:r>
      <w:r>
        <w:rPr>
          <w:sz w:val="32"/>
          <w:szCs w:val="32"/>
        </w:rPr>
        <w:t>垫江县</w:t>
      </w:r>
      <w:r>
        <w:rPr>
          <w:sz w:val="32"/>
          <w:szCs w:val="32"/>
        </w:rPr>
        <w:fldChar w:fldCharType="end"/>
      </w:r>
      <w:r>
        <w:rPr>
          <w:sz w:val="32"/>
          <w:szCs w:val="32"/>
        </w:rPr>
        <w:t>，位于长江上游地区，</w:t>
      </w:r>
      <w:r>
        <w:fldChar w:fldCharType="begin"/>
      </w:r>
      <w:r>
        <w:instrText xml:space="preserve"> HYPERLINK "http://baike.baidu.com/subview/2833/6922767.htm" </w:instrText>
      </w:r>
      <w:r>
        <w:fldChar w:fldCharType="separate"/>
      </w:r>
      <w:r>
        <w:rPr>
          <w:sz w:val="32"/>
          <w:szCs w:val="32"/>
        </w:rPr>
        <w:t>重庆</w:t>
      </w:r>
      <w:r>
        <w:rPr>
          <w:sz w:val="32"/>
          <w:szCs w:val="32"/>
        </w:rPr>
        <w:fldChar w:fldCharType="end"/>
      </w:r>
      <w:r>
        <w:rPr>
          <w:sz w:val="32"/>
          <w:szCs w:val="32"/>
        </w:rPr>
        <w:t>东北部，距重庆主城九区120 公里，，江北国际机场 110 公里，寸滩保税港区 100 公里，处于东经 107°13′～107°40′、北纬 29°38′～30°31′之间，</w:t>
      </w:r>
      <w:r>
        <w:fldChar w:fldCharType="begin"/>
      </w:r>
      <w:r>
        <w:instrText xml:space="preserve"> HYPERLINK "http://baike.baidu.com/view/326381.htm" </w:instrText>
      </w:r>
      <w:r>
        <w:fldChar w:fldCharType="separate"/>
      </w:r>
      <w:r>
        <w:rPr>
          <w:sz w:val="32"/>
          <w:szCs w:val="32"/>
        </w:rPr>
        <w:t>东邻丰都</w:t>
      </w:r>
      <w:r>
        <w:rPr>
          <w:sz w:val="32"/>
          <w:szCs w:val="32"/>
        </w:rPr>
        <w:fldChar w:fldCharType="end"/>
      </w:r>
      <w:r>
        <w:fldChar w:fldCharType="begin"/>
      </w:r>
      <w:r>
        <w:instrText xml:space="preserve"> HYPERLINK "http://baike.baidu.com/view/326381.htm" </w:instrText>
      </w:r>
      <w:r>
        <w:fldChar w:fldCharType="separate"/>
      </w:r>
      <w:r>
        <w:rPr>
          <w:sz w:val="32"/>
          <w:szCs w:val="32"/>
        </w:rPr>
        <w:t>县</w:t>
      </w:r>
      <w:r>
        <w:rPr>
          <w:sz w:val="32"/>
          <w:szCs w:val="32"/>
        </w:rPr>
        <w:fldChar w:fldCharType="end"/>
      </w:r>
      <w:r>
        <w:rPr>
          <w:sz w:val="32"/>
          <w:szCs w:val="32"/>
        </w:rPr>
        <w:t>、</w:t>
      </w:r>
      <w:r>
        <w:fldChar w:fldCharType="begin"/>
      </w:r>
      <w:r>
        <w:instrText xml:space="preserve"> HYPERLINK "http://baike.baidu.com/subview/72216/8427232.htm" </w:instrText>
      </w:r>
      <w:r>
        <w:fldChar w:fldCharType="separate"/>
      </w:r>
      <w:r>
        <w:rPr>
          <w:sz w:val="32"/>
          <w:szCs w:val="32"/>
        </w:rPr>
        <w:t>忠县</w:t>
      </w:r>
      <w:r>
        <w:rPr>
          <w:sz w:val="32"/>
          <w:szCs w:val="32"/>
        </w:rPr>
        <w:fldChar w:fldCharType="end"/>
      </w:r>
      <w:r>
        <w:rPr>
          <w:sz w:val="32"/>
          <w:szCs w:val="32"/>
        </w:rPr>
        <w:t>，南连</w:t>
      </w:r>
      <w:r>
        <w:fldChar w:fldCharType="begin"/>
      </w:r>
      <w:r>
        <w:instrText xml:space="preserve"> HYPERLINK "http://baike.baidu.com/view/140326.htm" </w:instrText>
      </w:r>
      <w:r>
        <w:fldChar w:fldCharType="separate"/>
      </w:r>
      <w:r>
        <w:rPr>
          <w:sz w:val="32"/>
          <w:szCs w:val="32"/>
        </w:rPr>
        <w:t>涪陵区</w:t>
      </w:r>
      <w:r>
        <w:rPr>
          <w:sz w:val="32"/>
          <w:szCs w:val="32"/>
        </w:rPr>
        <w:fldChar w:fldCharType="end"/>
      </w:r>
      <w:r>
        <w:rPr>
          <w:sz w:val="32"/>
          <w:szCs w:val="32"/>
        </w:rPr>
        <w:t>、</w:t>
      </w:r>
      <w:r>
        <w:fldChar w:fldCharType="begin"/>
      </w:r>
      <w:r>
        <w:instrText xml:space="preserve"> HYPERLINK "http://baike.baidu.com/subview/53592/8322333.htm" </w:instrText>
      </w:r>
      <w:r>
        <w:fldChar w:fldCharType="separate"/>
      </w:r>
      <w:r>
        <w:rPr>
          <w:sz w:val="32"/>
          <w:szCs w:val="32"/>
        </w:rPr>
        <w:t>长寿区</w:t>
      </w:r>
      <w:r>
        <w:rPr>
          <w:sz w:val="32"/>
          <w:szCs w:val="32"/>
        </w:rPr>
        <w:fldChar w:fldCharType="end"/>
      </w:r>
      <w:r>
        <w:rPr>
          <w:sz w:val="32"/>
          <w:szCs w:val="32"/>
        </w:rPr>
        <w:t>，西靠</w:t>
      </w:r>
      <w:r>
        <w:fldChar w:fldCharType="begin"/>
      </w:r>
      <w:r>
        <w:instrText xml:space="preserve"> HYPERLINK "http://baike.baidu.com/subview/7627/15402623.htm" </w:instrText>
      </w:r>
      <w:r>
        <w:fldChar w:fldCharType="separate"/>
      </w:r>
      <w:r>
        <w:rPr>
          <w:sz w:val="32"/>
          <w:szCs w:val="32"/>
        </w:rPr>
        <w:t>四川</w:t>
      </w:r>
      <w:r>
        <w:rPr>
          <w:sz w:val="32"/>
          <w:szCs w:val="32"/>
        </w:rPr>
        <w:fldChar w:fldCharType="end"/>
      </w:r>
      <w:r>
        <w:fldChar w:fldCharType="begin"/>
      </w:r>
      <w:r>
        <w:instrText xml:space="preserve"> HYPERLINK "http://baike.baidu.com/subview/7627/15402623.htm" </w:instrText>
      </w:r>
      <w:r>
        <w:fldChar w:fldCharType="separate"/>
      </w:r>
      <w:r>
        <w:rPr>
          <w:sz w:val="32"/>
          <w:szCs w:val="32"/>
        </w:rPr>
        <w:t>大竹县</w:t>
      </w:r>
      <w:r>
        <w:rPr>
          <w:sz w:val="32"/>
          <w:szCs w:val="32"/>
        </w:rPr>
        <w:fldChar w:fldCharType="end"/>
      </w:r>
      <w:r>
        <w:rPr>
          <w:sz w:val="32"/>
          <w:szCs w:val="32"/>
        </w:rPr>
        <w:t>、</w:t>
      </w:r>
      <w:r>
        <w:fldChar w:fldCharType="begin"/>
      </w:r>
      <w:r>
        <w:instrText xml:space="preserve"> HYPERLINK "http://baike.baidu.com/view/136240.htm" </w:instrText>
      </w:r>
      <w:r>
        <w:fldChar w:fldCharType="separate"/>
      </w:r>
      <w:r>
        <w:rPr>
          <w:sz w:val="32"/>
          <w:szCs w:val="32"/>
        </w:rPr>
        <w:t>邻水县</w:t>
      </w:r>
      <w:r>
        <w:rPr>
          <w:sz w:val="32"/>
          <w:szCs w:val="32"/>
        </w:rPr>
        <w:fldChar w:fldCharType="end"/>
      </w:r>
      <w:r>
        <w:rPr>
          <w:sz w:val="32"/>
          <w:szCs w:val="32"/>
        </w:rPr>
        <w:t>，北与</w:t>
      </w:r>
      <w:r>
        <w:fldChar w:fldCharType="begin"/>
      </w:r>
      <w:r>
        <w:instrText xml:space="preserve"> HYPERLINK "http://baike.baidu.com/view/620267.htm" </w:instrText>
      </w:r>
      <w:r>
        <w:fldChar w:fldCharType="separate"/>
      </w:r>
      <w:r>
        <w:rPr>
          <w:sz w:val="32"/>
          <w:szCs w:val="32"/>
        </w:rPr>
        <w:t>梁平区</w:t>
      </w:r>
      <w:r>
        <w:rPr>
          <w:sz w:val="32"/>
          <w:szCs w:val="32"/>
        </w:rPr>
        <w:fldChar w:fldCharType="end"/>
      </w:r>
      <w:r>
        <w:rPr>
          <w:sz w:val="32"/>
          <w:szCs w:val="32"/>
        </w:rPr>
        <w:t>接壤。幅员面积 1518 平方公里，人口 95 万，辖 2 个街道、22 个镇、2 个乡。2020年，垫江县实现地区生产总值444.8亿元，同比增长4% 。按产业分，第一产业增加值59.4亿元，增长4.8%；第二产业增加值196.3亿元，增长5.6%；第三产业增加值189.1亿元，增长2.3%。三次产业对经济增长的贡献率分别为14.5%、59.6%、25.9%，拉动力分别为0.9%、2.4%、1.0%，三次产业结构比为13.4：44.1：42.5。截止2020年底，垫江县非营运车辆拥有量达到   21 万辆。年末实有公交车167辆，公交运行线路11条；出租车255  辆；乡镇客运车233辆。2016 年-2020年，汽车保有量平均年增长率约  10 %。</w:t>
      </w:r>
    </w:p>
    <w:p>
      <w:pPr>
        <w:ind w:firstLine="650" w:firstLineChars="200"/>
        <w:rPr>
          <w:sz w:val="32"/>
          <w:szCs w:val="32"/>
        </w:rPr>
      </w:pPr>
      <w:r>
        <w:rPr>
          <w:sz w:val="32"/>
          <w:szCs w:val="32"/>
        </w:rPr>
        <w:t>在现有在运营28座加油站基础上，全县新规划加油站6座，迁建1座，调整11座，到规划期末，全县加油站总数控制在46座左右。</w:t>
      </w:r>
    </w:p>
    <w:p>
      <w:pPr>
        <w:ind w:firstLine="650" w:firstLineChars="200"/>
        <w:outlineLvl w:val="3"/>
        <w:rPr>
          <w:sz w:val="32"/>
          <w:szCs w:val="32"/>
        </w:rPr>
      </w:pPr>
      <w:r>
        <w:rPr>
          <w:sz w:val="32"/>
          <w:szCs w:val="32"/>
        </w:rPr>
        <w:t>4.4.2.22忠县</w:t>
      </w:r>
    </w:p>
    <w:p>
      <w:pPr>
        <w:ind w:firstLine="650" w:firstLineChars="200"/>
        <w:rPr>
          <w:sz w:val="32"/>
          <w:szCs w:val="32"/>
        </w:rPr>
      </w:pPr>
      <w:r>
        <w:rPr>
          <w:sz w:val="32"/>
          <w:szCs w:val="32"/>
        </w:rPr>
        <w:t>忠县位于</w:t>
      </w:r>
      <w:r>
        <w:fldChar w:fldCharType="begin"/>
      </w:r>
      <w:r>
        <w:instrText xml:space="preserve"> HYPERLINK "http://baike.so.com/doc/5613955-5826565.html" \t "_blank" </w:instrText>
      </w:r>
      <w:r>
        <w:fldChar w:fldCharType="separate"/>
      </w:r>
      <w:r>
        <w:rPr>
          <w:sz w:val="32"/>
          <w:szCs w:val="32"/>
        </w:rPr>
        <w:t>长江上游地区</w:t>
      </w:r>
      <w:r>
        <w:rPr>
          <w:sz w:val="32"/>
          <w:szCs w:val="32"/>
        </w:rPr>
        <w:fldChar w:fldCharType="end"/>
      </w:r>
      <w:r>
        <w:rPr>
          <w:sz w:val="32"/>
          <w:szCs w:val="32"/>
        </w:rPr>
        <w:t>、</w:t>
      </w:r>
      <w:r>
        <w:fldChar w:fldCharType="begin"/>
      </w:r>
      <w:r>
        <w:instrText xml:space="preserve"> HYPERLINK "http://baike.so.com/doc/2801374-2956779.html" \t "_blank" </w:instrText>
      </w:r>
      <w:r>
        <w:fldChar w:fldCharType="separate"/>
      </w:r>
      <w:r>
        <w:rPr>
          <w:sz w:val="32"/>
          <w:szCs w:val="32"/>
        </w:rPr>
        <w:t>重庆</w:t>
      </w:r>
      <w:r>
        <w:rPr>
          <w:sz w:val="32"/>
          <w:szCs w:val="32"/>
        </w:rPr>
        <w:fldChar w:fldCharType="end"/>
      </w:r>
      <w:r>
        <w:rPr>
          <w:sz w:val="32"/>
          <w:szCs w:val="32"/>
        </w:rPr>
        <w:t>东部，地处</w:t>
      </w:r>
      <w:r>
        <w:fldChar w:fldCharType="begin"/>
      </w:r>
      <w:r>
        <w:instrText xml:space="preserve"> HYPERLINK "http://baike.so.com/doc/6385788-6599442.html" \t "_blank" </w:instrText>
      </w:r>
      <w:r>
        <w:fldChar w:fldCharType="separate"/>
      </w:r>
      <w:r>
        <w:rPr>
          <w:sz w:val="32"/>
          <w:szCs w:val="32"/>
        </w:rPr>
        <w:t>三峡库区</w:t>
      </w:r>
      <w:r>
        <w:rPr>
          <w:sz w:val="32"/>
          <w:szCs w:val="32"/>
        </w:rPr>
        <w:fldChar w:fldCharType="end"/>
      </w:r>
      <w:r>
        <w:rPr>
          <w:sz w:val="32"/>
          <w:szCs w:val="32"/>
        </w:rPr>
        <w:t>腹心地带，全县幅员面积2187平方公里，现辖28个乡镇（街道），2020年全县户籍户数 34.36 万户，比上年减少 0.14 万户；户籍人口 97.59 万人，比上年减少 0.80 万人。2020全年实现地区生产总值（GDP）427.65 亿元，比 上年增长 4.1%。其中：第一产业增加值 55.80 亿元，增长 5.1%； 第二产业增加值 189.71 亿元，增长 4.8%；第三产业增加值 182.13 亿元，增长 3.1%。三次产业结构比为 13.0：44.4：42.6。三次产业对全县经济增长的贡献率分别为 14.3%、52.0%、33.7%，分别 拉动全县经济增长 0.6 个百分点、2.1 个百分点、1.4 个百分点。按常住人口计算，全县人均地区生产总值达到 56137 元，比上年增长 2.0%。截止2021年5月1日，全县机动车保有量总数为169805辆，其中大型汽车2264辆，小型汽车99153辆，摩托车66395辆，大型新能源汽车32辆，小型新能源汽车524辆。2018年至2021年，全县机动车保有量年均增长率为10.25%。2020年全县成品油零售销售87626吨，是2016年销售66290吨的1.3倍。</w:t>
      </w:r>
    </w:p>
    <w:p>
      <w:pPr>
        <w:ind w:firstLine="650" w:firstLineChars="200"/>
        <w:rPr>
          <w:sz w:val="32"/>
          <w:szCs w:val="32"/>
        </w:rPr>
      </w:pPr>
      <w:r>
        <w:rPr>
          <w:sz w:val="32"/>
          <w:szCs w:val="32"/>
        </w:rPr>
        <w:t>在现有在运营39座加油站基础上，全县新规划加油站12座，迁建4座，扩建1座，调整4座，到规划期末，全县加油站总数控制在60座左右。</w:t>
      </w:r>
    </w:p>
    <w:p>
      <w:pPr>
        <w:ind w:firstLine="650" w:firstLineChars="200"/>
        <w:outlineLvl w:val="3"/>
        <w:rPr>
          <w:sz w:val="32"/>
          <w:szCs w:val="32"/>
        </w:rPr>
      </w:pPr>
      <w:r>
        <w:rPr>
          <w:sz w:val="32"/>
          <w:szCs w:val="32"/>
        </w:rPr>
        <w:t>4.4.2.23云阳县</w:t>
      </w:r>
    </w:p>
    <w:p>
      <w:pPr>
        <w:ind w:firstLine="650" w:firstLineChars="200"/>
        <w:rPr>
          <w:sz w:val="32"/>
          <w:szCs w:val="32"/>
        </w:rPr>
      </w:pPr>
      <w:r>
        <w:rPr>
          <w:sz w:val="32"/>
          <w:szCs w:val="32"/>
        </w:rPr>
        <w:t>云阳县位于重庆市东北部，处于三峡库区腹心地带，全县幅员面积3649平方公里，现辖共有42个乡镇（街道），常住人口92.9万人。2020年全县经济增长总体趋稳，运行质量向好。实现地区生产总值462.6亿元，位列全市各县之首。一般公共预算本级收入16.8亿元，同口径增长5.1%。全社会固定资产投资223亿元、增长10.6%，社会消费品零售总额299亿元、增长4%，金融机构人民币存款余额535亿元、贷款余额286亿元、存贷比达53.5%。2019年，全县公路通车里程有7747.177公里。其中，高速公路71.01公里，省道465.64公里。二级以上公路414.29公里，占比5.3%，其中高速公路1条，国道2条，省道5条，公路密度2.12公里/平方公里。2019年全县成品油表观消费总量9.46万吨，其中汽油6.09万吨，柴油3.37万吨，与“十二五”末相比，年均增速达到10.56%。按照年均8%的增速，到2025年全县成品油零售表观消费总量将达到14.1万吨，其中汽油11万吨，柴油3.1万吨。2019年，全县各种机动车辆保有量15.30万辆（台），年均增速8.5%，其中：汽车8.81万辆，摩托车等机动运输工具6.49万辆，过境车辆4万辆。</w:t>
      </w:r>
    </w:p>
    <w:p>
      <w:pPr>
        <w:ind w:firstLine="650" w:firstLineChars="200"/>
        <w:rPr>
          <w:sz w:val="32"/>
          <w:szCs w:val="32"/>
        </w:rPr>
      </w:pPr>
      <w:r>
        <w:rPr>
          <w:sz w:val="32"/>
          <w:szCs w:val="32"/>
        </w:rPr>
        <w:t>在现有在运营50座加油站基础上，全县新规划加油站23座，迁建4座，到规划期末，全县加油站总数控制在77座左右。</w:t>
      </w:r>
    </w:p>
    <w:p>
      <w:pPr>
        <w:ind w:firstLine="650" w:firstLineChars="200"/>
        <w:outlineLvl w:val="3"/>
        <w:rPr>
          <w:sz w:val="32"/>
          <w:szCs w:val="32"/>
        </w:rPr>
      </w:pPr>
      <w:r>
        <w:rPr>
          <w:sz w:val="32"/>
          <w:szCs w:val="32"/>
        </w:rPr>
        <w:t>4.4.2.24奉节县</w:t>
      </w:r>
    </w:p>
    <w:p>
      <w:pPr>
        <w:ind w:firstLine="650" w:firstLineChars="200"/>
        <w:rPr>
          <w:sz w:val="32"/>
          <w:szCs w:val="32"/>
        </w:rPr>
      </w:pPr>
      <w:r>
        <w:rPr>
          <w:sz w:val="32"/>
          <w:szCs w:val="32"/>
        </w:rPr>
        <w:t>奉节县位于长江上游地区、重庆东北部，长江三峡库区腹心，是渝东北地区的门户。奉节县东邻巫山县，南界湖北省恩施市，西连云阳县，北接巫溪县。全县幅员面积4087平方公里，现辖32个乡镇（街道），常住人口74.48万人。2020年全县生产总值323.1亿元，比上年增长2.5%。分季度看，一季度同比下降6.4%，二季度增长6.1%，三季度增长2.5%，四季度增长5.1%。其中：第一产业增加值58.6亿元，增长4.9%；第二产业增加值124.3亿元，增长2.2%；第三产业增加值140.2亿元，增长1.8%。</w:t>
      </w:r>
    </w:p>
    <w:p>
      <w:pPr>
        <w:ind w:firstLine="650" w:firstLineChars="200"/>
        <w:rPr>
          <w:sz w:val="32"/>
          <w:szCs w:val="32"/>
        </w:rPr>
      </w:pPr>
      <w:r>
        <w:rPr>
          <w:sz w:val="32"/>
          <w:szCs w:val="32"/>
        </w:rPr>
        <w:t>在现有在运营44座加油站基础上，全县新规划加油站24座，迁建1座，扩建1座，调整3座，到规划期末，全县加油站总数控制在73座左右。</w:t>
      </w:r>
    </w:p>
    <w:p>
      <w:pPr>
        <w:ind w:firstLine="650" w:firstLineChars="200"/>
        <w:outlineLvl w:val="3"/>
        <w:rPr>
          <w:sz w:val="32"/>
          <w:szCs w:val="32"/>
        </w:rPr>
      </w:pPr>
      <w:r>
        <w:rPr>
          <w:sz w:val="32"/>
          <w:szCs w:val="32"/>
        </w:rPr>
        <w:t>4.4.2.25巫山县</w:t>
      </w:r>
    </w:p>
    <w:p>
      <w:pPr>
        <w:ind w:firstLine="650" w:firstLineChars="200"/>
        <w:rPr>
          <w:sz w:val="32"/>
          <w:szCs w:val="32"/>
        </w:rPr>
      </w:pPr>
      <w:r>
        <w:rPr>
          <w:sz w:val="32"/>
          <w:szCs w:val="32"/>
        </w:rPr>
        <w:t>巫山县位于重庆市最东端，三峡库区腹心，东邻湖北省巴东县，西接奉节县，南与湖北省建始县毗连，北与巫溪县和神农架林区接壤，幅员面积2958平方公里。全县辖2个街道、11个镇、13个乡，34个社区居民委员会，306个村民委员会，2019年末户籍人口63.33万人。2019全年实现地区生产总值1729677万元，比上年增长8.6%。其中：第一产业增加值291739万元，增长4.1%；第二产业增加值508254万元，增长11.2%；第三产业增加值929684万元，增长8.5%。第一、二、三产业对经济增长的贡献率分别为7.9%、37.2%和54.9%，分别拉动经济增长0.7、3.2和4.7个百分点。三次产业结构比为16.9：29.4：53.7。2019年末巫山县公路通车里程5619.2公里，其中高速公路46.2公里、国道（G347、G348）180公里、省道（S105、S301）242公里、县道243公里、乡村道路4908公里，村民小组通达率100%，行政村通客车率96%。巫山县2015年全县共销售成品油48978吨，其中汽油24149吨，柴油24829吨。2016年全县共销售成品油48552吨，其中汽油25085吨，柴油23467吨。2017年全县共销售成品油50422吨，其中汽油26290吨，柴油24132吨。2018年全县共销售成品油49705吨，其中汽油27561吨，柴油22144吨。2019年全县共销售成品油49754吨，其中：中石油销售33354吨、中石化销售5900吨，其他销售10500吨。</w:t>
      </w:r>
    </w:p>
    <w:p>
      <w:pPr>
        <w:ind w:firstLine="650" w:firstLineChars="200"/>
        <w:rPr>
          <w:sz w:val="32"/>
          <w:szCs w:val="32"/>
        </w:rPr>
      </w:pPr>
      <w:r>
        <w:rPr>
          <w:sz w:val="32"/>
          <w:szCs w:val="32"/>
        </w:rPr>
        <w:t>在现有在运营34座加油站基础上，全县新规划加油站18座，迁建2座，扩建1座，调整4座，到规划期末，全县加油站总数控制在59座左右。</w:t>
      </w:r>
    </w:p>
    <w:p>
      <w:pPr>
        <w:ind w:firstLine="650" w:firstLineChars="200"/>
        <w:outlineLvl w:val="3"/>
        <w:rPr>
          <w:sz w:val="32"/>
          <w:szCs w:val="32"/>
        </w:rPr>
      </w:pPr>
      <w:r>
        <w:rPr>
          <w:sz w:val="32"/>
          <w:szCs w:val="32"/>
        </w:rPr>
        <w:t>4.4.2.26巫溪县</w:t>
      </w:r>
    </w:p>
    <w:p>
      <w:pPr>
        <w:ind w:firstLine="650" w:firstLineChars="200"/>
        <w:rPr>
          <w:sz w:val="32"/>
          <w:szCs w:val="32"/>
        </w:rPr>
      </w:pPr>
      <w:r>
        <w:rPr>
          <w:sz w:val="32"/>
          <w:szCs w:val="32"/>
        </w:rPr>
        <w:t>巫溪县位于渝陕鄂三省市交界处，全县幅员面积4030平方公里，现辖32个乡镇（街道），常住人口41.4万。2020年全年完成地区生产总值110.2亿元，同比增长2.7%，高于全国0.4个百分点。按三次产业分，第一产业增加值26.7亿元，增长3.8%；第二产业增加值24.7亿元，增长1.7%；第三产业增加值58.8亿元，增长2.6%。三次产业对经济增长的贡献率分别为30.1%、14.4 %、55.4%，分别拉动经济增长0.8、0.4 、1.5个百分点，三次产业结构比为24.3：22.4：53.3。全年完成固定资产投资73.9亿元，其中，基础设施和工业投资领域同比分别增长21.1%和74.2%，增幅较上半年分别提高28.0和83.3个百分点。全县一般公共预算收入完成7.3亿元，全县居民人均可支配收入17705元。2019年末，巫溪县公路总里程7190公里。其中，高速公路（G6911奉溪高速）23.5公里；3条国道G242（甘其毛都--钦州）、G347（南京--德令哈）、G541（石泉--巫溪）共计241.607公里；4条省道 S201城巫路、S301溪城路、S502徐满路、S503文石路共计429.556公里；4条县道XC64、XC65、XC66、XC68共计102.547公里；乡道443.399公里；农村公路5949.413公里。2020年，巫溪县机动车保有量10.94万辆，同比增加8.04%，较2016年增加28.28%；人均汽车保有量281辆/千人，同比增加6.98%，较2016年增加28.38%。</w:t>
      </w:r>
    </w:p>
    <w:p>
      <w:pPr>
        <w:ind w:firstLine="650" w:firstLineChars="200"/>
        <w:rPr>
          <w:sz w:val="32"/>
          <w:szCs w:val="32"/>
        </w:rPr>
      </w:pPr>
      <w:r>
        <w:rPr>
          <w:sz w:val="32"/>
          <w:szCs w:val="32"/>
        </w:rPr>
        <w:t>在现有在运营30座加油站基础上，全县新规划加油站7座，迁建1座，调整23座，到“十四五”末，全县加油站总数控制在61座左右。</w:t>
      </w:r>
    </w:p>
    <w:p>
      <w:pPr>
        <w:ind w:firstLine="650" w:firstLineChars="200"/>
        <w:outlineLvl w:val="3"/>
        <w:rPr>
          <w:sz w:val="32"/>
          <w:szCs w:val="32"/>
        </w:rPr>
      </w:pPr>
      <w:r>
        <w:rPr>
          <w:sz w:val="32"/>
          <w:szCs w:val="32"/>
        </w:rPr>
        <w:t>4.4.2.27石柱土家族自治县</w:t>
      </w:r>
    </w:p>
    <w:p>
      <w:pPr>
        <w:ind w:firstLine="650" w:firstLineChars="200"/>
        <w:rPr>
          <w:sz w:val="32"/>
          <w:szCs w:val="32"/>
        </w:rPr>
      </w:pPr>
      <w:r>
        <w:rPr>
          <w:sz w:val="32"/>
          <w:szCs w:val="32"/>
        </w:rPr>
        <w:t>石柱土家族自治县位于</w:t>
      </w:r>
      <w:r>
        <w:fldChar w:fldCharType="begin"/>
      </w:r>
      <w:r>
        <w:instrText xml:space="preserve"> HYPERLINK "https://baike.so.com/doc/2038870-2157321.html" \t "https://baike.so.com/doc/_blank" </w:instrText>
      </w:r>
      <w:r>
        <w:fldChar w:fldCharType="separate"/>
      </w:r>
      <w:r>
        <w:rPr>
          <w:sz w:val="32"/>
          <w:szCs w:val="32"/>
        </w:rPr>
        <w:t>重庆市</w:t>
      </w:r>
      <w:r>
        <w:rPr>
          <w:sz w:val="32"/>
          <w:szCs w:val="32"/>
        </w:rPr>
        <w:fldChar w:fldCharType="end"/>
      </w:r>
      <w:r>
        <w:rPr>
          <w:sz w:val="32"/>
          <w:szCs w:val="32"/>
        </w:rPr>
        <w:t>东部、</w:t>
      </w:r>
      <w:r>
        <w:fldChar w:fldCharType="begin"/>
      </w:r>
      <w:r>
        <w:instrText xml:space="preserve"> HYPERLINK "https://baike.so.com/doc/4581631-4793029.html" \t "https://baike.so.com/doc/_blank" </w:instrText>
      </w:r>
      <w:r>
        <w:fldChar w:fldCharType="separate"/>
      </w:r>
      <w:r>
        <w:rPr>
          <w:sz w:val="32"/>
          <w:szCs w:val="32"/>
        </w:rPr>
        <w:t>长江</w:t>
      </w:r>
      <w:r>
        <w:rPr>
          <w:sz w:val="32"/>
          <w:szCs w:val="32"/>
        </w:rPr>
        <w:fldChar w:fldCharType="end"/>
      </w:r>
      <w:r>
        <w:rPr>
          <w:sz w:val="32"/>
          <w:szCs w:val="32"/>
        </w:rPr>
        <w:t>南岸、三峡库区腹心地带，地处东经107度59分至108度34分，北纬29度39分至30度32分之间，是三峡库区惟一的少数民族自治县。东接湖北省利川市，南邻</w:t>
      </w:r>
      <w:r>
        <w:fldChar w:fldCharType="begin"/>
      </w:r>
      <w:r>
        <w:instrText xml:space="preserve"> HYPERLINK "https://baike.so.com/doc/6161596-6374817.html" \t "https://baike.so.com/doc/_blank" </w:instrText>
      </w:r>
      <w:r>
        <w:fldChar w:fldCharType="separate"/>
      </w:r>
      <w:r>
        <w:rPr>
          <w:sz w:val="32"/>
          <w:szCs w:val="32"/>
        </w:rPr>
        <w:t>彭水县</w:t>
      </w:r>
      <w:r>
        <w:rPr>
          <w:sz w:val="32"/>
          <w:szCs w:val="32"/>
        </w:rPr>
        <w:fldChar w:fldCharType="end"/>
      </w:r>
      <w:r>
        <w:rPr>
          <w:sz w:val="32"/>
          <w:szCs w:val="32"/>
        </w:rPr>
        <w:t>，西南靠</w:t>
      </w:r>
      <w:r>
        <w:fldChar w:fldCharType="begin"/>
      </w:r>
      <w:r>
        <w:instrText xml:space="preserve"> HYPERLINK "https://baike.so.com/doc/5339728-5575171.html" \t "https://baike.so.com/doc/_blank" </w:instrText>
      </w:r>
      <w:r>
        <w:fldChar w:fldCharType="separate"/>
      </w:r>
      <w:r>
        <w:rPr>
          <w:sz w:val="32"/>
          <w:szCs w:val="32"/>
        </w:rPr>
        <w:t>丰都县</w:t>
      </w:r>
      <w:r>
        <w:rPr>
          <w:sz w:val="32"/>
          <w:szCs w:val="32"/>
        </w:rPr>
        <w:fldChar w:fldCharType="end"/>
      </w:r>
      <w:r>
        <w:rPr>
          <w:sz w:val="32"/>
          <w:szCs w:val="32"/>
        </w:rPr>
        <w:t>，西北连</w:t>
      </w:r>
      <w:r>
        <w:fldChar w:fldCharType="begin"/>
      </w:r>
      <w:r>
        <w:instrText xml:space="preserve"> HYPERLINK "https://baike.so.com/doc/5344305-5579750.html" \t "https://baike.so.com/doc/_blank" </w:instrText>
      </w:r>
      <w:r>
        <w:fldChar w:fldCharType="separate"/>
      </w:r>
      <w:r>
        <w:rPr>
          <w:sz w:val="32"/>
          <w:szCs w:val="32"/>
        </w:rPr>
        <w:t>忠县</w:t>
      </w:r>
      <w:r>
        <w:rPr>
          <w:sz w:val="32"/>
          <w:szCs w:val="32"/>
        </w:rPr>
        <w:fldChar w:fldCharType="end"/>
      </w:r>
      <w:r>
        <w:rPr>
          <w:sz w:val="32"/>
          <w:szCs w:val="32"/>
        </w:rPr>
        <w:t>，北与万州区接壤。石柱县全县幅员面积3102平方公里，现辖33乡镇（街道），“十三五”末全县总人口54.74万人，常住人口城镇化率达到48%，地区生产总值完成171亿元，社会消费品零售总额82.7亿元。全县机动车保有量123928台（其中：传统能源汽车54416辆，新能源汽车206辆，农用车686辆，摩托车68620辆），机动车卡口流量为177208车次/日以上。 “十三五”期间年均增幅0.32%。全县公路里程5562公里，其中国家高速3条109公里，国道3条320公里，省道5条251公里，县道25条293公里，乡道532公里，村道4058公里。“十三五”期间全县成品油经营企业共计销售成品油340161吨，其中分品种：汽油163264吨，柴油176897吨，分年度：2016年67585吨，2017年66650吨，2018年68398吨，2019年69065吨，2020年68463吨，2020年比2016年销售量增长了1.3%。</w:t>
      </w:r>
    </w:p>
    <w:p>
      <w:pPr>
        <w:ind w:firstLine="650" w:firstLineChars="200"/>
        <w:rPr>
          <w:sz w:val="32"/>
          <w:szCs w:val="32"/>
        </w:rPr>
      </w:pPr>
      <w:r>
        <w:rPr>
          <w:sz w:val="32"/>
          <w:szCs w:val="32"/>
        </w:rPr>
        <w:t>在现有在运营24座加油站基础上，全县新规划加油站15座，扩建3座，调整4座，到规划期末，全县加油站总数控制在46座左右。</w:t>
      </w:r>
    </w:p>
    <w:p>
      <w:pPr>
        <w:ind w:firstLine="650" w:firstLineChars="200"/>
        <w:outlineLvl w:val="3"/>
        <w:rPr>
          <w:sz w:val="32"/>
          <w:szCs w:val="32"/>
        </w:rPr>
      </w:pPr>
      <w:r>
        <w:rPr>
          <w:sz w:val="32"/>
          <w:szCs w:val="32"/>
        </w:rPr>
        <w:t>4.4.2.28秀山土家族苗族自治县</w:t>
      </w:r>
    </w:p>
    <w:p>
      <w:pPr>
        <w:ind w:firstLine="650" w:firstLineChars="200"/>
        <w:rPr>
          <w:sz w:val="32"/>
          <w:szCs w:val="32"/>
        </w:rPr>
      </w:pPr>
      <w:r>
        <w:rPr>
          <w:sz w:val="32"/>
          <w:szCs w:val="32"/>
        </w:rPr>
        <w:t>秀山土家族苗族自治县位于重庆市东南部，武陵山脉中段，渝、鄂、湘、黔四省（市）边区结合部，处于重庆、贵阳、南宁、长沙经济辐射圈内，是重庆市的边贸中心，渝东南重要门户，全县幅员面积2462平方公里，辖4个街道23个乡镇，68万人口，省市际边界线长达321公里，国道319、326、渝湘高速、渝怀铁路贯穿全境，是重庆内陆地区出入中南及沿海地区的捷径和重要门户，2020年全县GDP实现301亿元，固定资产投资完成808亿元，社会消费品零售总额201.79亿元。秀山县区域内现有普通公路总里程4482公里。现有国道G242、G319、G326共3条，普通省道S306、S522、S526共3条，渝湘高速公路、秀松高速公路2条，总里程79.3公里，农村公路4170公里。2020年，秀山县各类机动车保有量达112928辆，其中汽车总量64078辆。2020年过境机动车数量328570（辆次），主要道路机动车日均交通流量72000（辆次）。“十三五”期间全县成品油消费量总体情况是：2015年成品油83239吨，2016年成品油83130吨，2017年成品油101122吨，2018年成品油94140吨，2019年成品油99102吨，2020年成品油98297吨。</w:t>
      </w:r>
    </w:p>
    <w:p>
      <w:pPr>
        <w:ind w:firstLine="650" w:firstLineChars="200"/>
        <w:rPr>
          <w:sz w:val="32"/>
          <w:szCs w:val="32"/>
        </w:rPr>
      </w:pPr>
      <w:r>
        <w:rPr>
          <w:sz w:val="32"/>
          <w:szCs w:val="32"/>
        </w:rPr>
        <w:t>在现有在运营37座加油站基础上，全县新规划加油站6座，调整19座，到规划期末，全县加油站总数控制在62座左右。</w:t>
      </w:r>
    </w:p>
    <w:p>
      <w:pPr>
        <w:ind w:firstLine="650" w:firstLineChars="200"/>
        <w:outlineLvl w:val="3"/>
        <w:rPr>
          <w:sz w:val="32"/>
          <w:szCs w:val="32"/>
        </w:rPr>
      </w:pPr>
      <w:r>
        <w:rPr>
          <w:sz w:val="32"/>
          <w:szCs w:val="32"/>
        </w:rPr>
        <w:t>4.4.2.29酉阳土家族苗族自治县</w:t>
      </w:r>
    </w:p>
    <w:p>
      <w:pPr>
        <w:ind w:firstLine="650" w:firstLineChars="200"/>
        <w:rPr>
          <w:sz w:val="32"/>
          <w:szCs w:val="32"/>
        </w:rPr>
      </w:pPr>
      <w:r>
        <w:rPr>
          <w:sz w:val="32"/>
          <w:szCs w:val="32"/>
        </w:rPr>
        <w:t>酉阳土家族苗族自治县地处重庆东南部地区，县域面积5173平方公里，现辖39个乡镇（街道），常住人口57.8万。2020年，实现地区生产总值201.2亿元，是2015年的1.7倍，年均增长4.6%。人均GDP提高至36962元，是2015年的1.8倍。实现社会消费品零售总额83.9亿元，是2015年的1.8倍，年均增长12.8%。实现进出口总额3.7亿美元，是2015年的1.3倍。累计完成固定资产投资532亿元，年均增长9.2%。全体居民人均可支配收入达到18374元，是2015年的1.6倍，年均增长10.5%。存款余额261.3亿元，比2015年增长56.8%，年均增长9.4%。全年地区生产总值增长2%，实现第一、二、三产业增加值40.2亿元、35亿元、126亿元，分别增长5.1%、1.3%、1.3%。完成固定资产投资76.9亿元，增长5.7%。实现县级一般公共预算收入9.12亿元，完成预算目标的95.8%。城乡居民人均可支配收入30123元、11620元，分别增长5%、8.2%。居民消费价格涨幅2.9%。2020年全县通车公路里程达5826公里，其中等级公路达1302公里，全县公路乡村通畅率100%。</w:t>
      </w:r>
    </w:p>
    <w:p>
      <w:pPr>
        <w:ind w:firstLine="650" w:firstLineChars="200"/>
        <w:rPr>
          <w:sz w:val="32"/>
          <w:szCs w:val="32"/>
        </w:rPr>
      </w:pPr>
      <w:r>
        <w:rPr>
          <w:sz w:val="32"/>
          <w:szCs w:val="32"/>
        </w:rPr>
        <w:t>在现有在运营45座加油站基础上，全县新规划加油站7座，迁建1座，调整16座，到规划期末，全县加油站总数控制在69座左右。</w:t>
      </w:r>
    </w:p>
    <w:p>
      <w:pPr>
        <w:ind w:firstLine="650" w:firstLineChars="200"/>
        <w:outlineLvl w:val="3"/>
        <w:rPr>
          <w:rFonts w:hint="eastAsia" w:eastAsia="宋体"/>
          <w:sz w:val="32"/>
          <w:szCs w:val="32"/>
          <w:lang w:eastAsia="zh-CN"/>
        </w:rPr>
      </w:pPr>
      <w:r>
        <w:rPr>
          <w:sz w:val="32"/>
          <w:szCs w:val="32"/>
        </w:rPr>
        <w:t>4.4.2.30</w:t>
      </w:r>
      <w:r>
        <w:rPr>
          <w:rFonts w:hint="eastAsia"/>
          <w:sz w:val="32"/>
          <w:szCs w:val="32"/>
          <w:lang w:eastAsia="zh-CN"/>
        </w:rPr>
        <w:t>彭水苗族土家族自治县</w:t>
      </w:r>
    </w:p>
    <w:p>
      <w:pPr>
        <w:ind w:firstLine="650" w:firstLineChars="200"/>
        <w:rPr>
          <w:sz w:val="32"/>
          <w:szCs w:val="32"/>
        </w:rPr>
      </w:pPr>
      <w:r>
        <w:rPr>
          <w:rFonts w:hint="eastAsia"/>
          <w:sz w:val="32"/>
          <w:szCs w:val="32"/>
          <w:lang w:eastAsia="zh-CN"/>
        </w:rPr>
        <w:t>彭水苗族土家族自治县</w:t>
      </w:r>
      <w:r>
        <w:rPr>
          <w:sz w:val="32"/>
          <w:szCs w:val="32"/>
        </w:rPr>
        <w:t>幅员面积3903平方公里，现辖29个乡镇（街道），常住人口67.3万人。2019年，全县地区生产总值（GDP）突破220亿元，达到222.28亿元、同比增长6.5%。分行业看:第一产业实现增加值31.94亿元，增长4.8%;第二产业实现增加值78.86亿元，增长1.0%;第三产业实现增加值111.48亿元，增长9.6%。“十三五”末全县共有高速公路82公里，国省道663公里，县乡公路622公里，主要道路机动车日均交通流量3000台。“十四五”期间，彭水自治县将改扩建国道123.7公里，改建省道149.9公里，新改建县乡道612公里。全县机动车保有量为111726台（其中汽车77763台，摩托车33898台，其余车辆65台），过境机动车每天达2000台以上。</w:t>
      </w:r>
    </w:p>
    <w:p>
      <w:pPr>
        <w:ind w:firstLine="650" w:firstLineChars="200"/>
        <w:rPr>
          <w:sz w:val="32"/>
          <w:szCs w:val="32"/>
        </w:rPr>
      </w:pPr>
      <w:r>
        <w:rPr>
          <w:sz w:val="32"/>
          <w:szCs w:val="32"/>
        </w:rPr>
        <w:t>在现有在运营36座加油站基础上，全县新规划加油站11座，迁建4座，扩建4座，调整7座，到规划期末，全县加油站总数控制在62座左右。</w:t>
      </w:r>
    </w:p>
    <w:p>
      <w:pPr>
        <w:pStyle w:val="16"/>
        <w:spacing w:line="240" w:lineRule="auto"/>
        <w:jc w:val="center"/>
        <w:rPr>
          <w:rFonts w:ascii="Times New Roman" w:hAnsi="Times New Roman" w:eastAsia="宋体"/>
          <w:b/>
          <w:bCs w:val="0"/>
          <w:sz w:val="32"/>
        </w:rPr>
      </w:pPr>
      <w:bookmarkStart w:id="477" w:name="_Toc96528585"/>
    </w:p>
    <w:p>
      <w:pPr>
        <w:pStyle w:val="16"/>
        <w:spacing w:line="240" w:lineRule="auto"/>
        <w:jc w:val="center"/>
        <w:rPr>
          <w:rFonts w:ascii="Times New Roman" w:hAnsi="Times New Roman" w:eastAsia="宋体"/>
          <w:b/>
          <w:bCs w:val="0"/>
          <w:sz w:val="32"/>
        </w:rPr>
      </w:pPr>
    </w:p>
    <w:p>
      <w:pPr>
        <w:pStyle w:val="16"/>
        <w:spacing w:line="240" w:lineRule="auto"/>
        <w:jc w:val="center"/>
        <w:rPr>
          <w:rFonts w:ascii="Times New Roman" w:hAnsi="Times New Roman" w:eastAsia="宋体"/>
          <w:b/>
          <w:bCs w:val="0"/>
          <w:sz w:val="32"/>
        </w:rPr>
      </w:pPr>
    </w:p>
    <w:p>
      <w:pPr>
        <w:pStyle w:val="16"/>
        <w:spacing w:line="240" w:lineRule="auto"/>
        <w:jc w:val="center"/>
        <w:rPr>
          <w:rFonts w:ascii="Times New Roman" w:hAnsi="Times New Roman" w:eastAsia="宋体"/>
          <w:b/>
          <w:bCs w:val="0"/>
          <w:sz w:val="32"/>
        </w:rPr>
      </w:pPr>
    </w:p>
    <w:p>
      <w:pPr>
        <w:pStyle w:val="16"/>
        <w:spacing w:line="240" w:lineRule="auto"/>
        <w:jc w:val="center"/>
        <w:rPr>
          <w:rFonts w:ascii="Times New Roman" w:hAnsi="Times New Roman" w:eastAsia="宋体"/>
          <w:b/>
          <w:bCs w:val="0"/>
          <w:sz w:val="32"/>
        </w:rPr>
      </w:pPr>
    </w:p>
    <w:p>
      <w:pPr>
        <w:pStyle w:val="16"/>
        <w:spacing w:line="240" w:lineRule="auto"/>
        <w:jc w:val="center"/>
        <w:rPr>
          <w:rFonts w:ascii="Times New Roman" w:hAnsi="Times New Roman" w:eastAsia="宋体"/>
          <w:b/>
          <w:bCs w:val="0"/>
          <w:sz w:val="32"/>
        </w:rPr>
      </w:pPr>
    </w:p>
    <w:p>
      <w:pPr>
        <w:rPr>
          <w:b/>
          <w:sz w:val="32"/>
          <w:szCs w:val="32"/>
        </w:rPr>
      </w:pPr>
    </w:p>
    <w:p>
      <w:pPr>
        <w:pStyle w:val="2"/>
        <w:rPr>
          <w:b/>
          <w:sz w:val="32"/>
          <w:szCs w:val="32"/>
        </w:rPr>
      </w:pPr>
    </w:p>
    <w:p>
      <w:pPr>
        <w:pStyle w:val="3"/>
        <w:rPr>
          <w:b/>
          <w:sz w:val="32"/>
          <w:szCs w:val="32"/>
        </w:rPr>
      </w:pPr>
    </w:p>
    <w:p>
      <w:pPr>
        <w:rPr>
          <w:b/>
          <w:sz w:val="32"/>
          <w:szCs w:val="32"/>
        </w:rPr>
      </w:pPr>
    </w:p>
    <w:p>
      <w:pPr>
        <w:pStyle w:val="2"/>
        <w:rPr>
          <w:b/>
          <w:sz w:val="32"/>
          <w:szCs w:val="32"/>
        </w:rPr>
      </w:pPr>
    </w:p>
    <w:p>
      <w:pPr>
        <w:pStyle w:val="3"/>
        <w:rPr>
          <w:b/>
          <w:sz w:val="32"/>
          <w:szCs w:val="32"/>
        </w:rPr>
      </w:pPr>
    </w:p>
    <w:p>
      <w:pPr>
        <w:rPr>
          <w:b/>
          <w:sz w:val="32"/>
          <w:szCs w:val="32"/>
        </w:rPr>
      </w:pPr>
    </w:p>
    <w:p>
      <w:pPr>
        <w:pStyle w:val="2"/>
        <w:rPr>
          <w:b/>
          <w:sz w:val="32"/>
          <w:szCs w:val="32"/>
        </w:rPr>
      </w:pPr>
    </w:p>
    <w:p>
      <w:pPr>
        <w:pStyle w:val="3"/>
        <w:rPr>
          <w:b/>
          <w:sz w:val="32"/>
          <w:szCs w:val="32"/>
        </w:rPr>
      </w:pPr>
    </w:p>
    <w:p>
      <w:pPr>
        <w:rPr>
          <w:b/>
          <w:sz w:val="32"/>
          <w:szCs w:val="32"/>
        </w:rPr>
      </w:pPr>
    </w:p>
    <w:p>
      <w:pPr>
        <w:pStyle w:val="2"/>
        <w:rPr>
          <w:b/>
          <w:sz w:val="32"/>
          <w:szCs w:val="32"/>
        </w:rPr>
      </w:pPr>
    </w:p>
    <w:p>
      <w:pPr>
        <w:pStyle w:val="3"/>
        <w:rPr>
          <w:b/>
          <w:sz w:val="32"/>
          <w:szCs w:val="32"/>
        </w:rPr>
      </w:pPr>
    </w:p>
    <w:p>
      <w:pPr>
        <w:rPr>
          <w:b/>
          <w:sz w:val="32"/>
          <w:szCs w:val="32"/>
        </w:rPr>
      </w:pPr>
    </w:p>
    <w:p>
      <w:pPr>
        <w:pStyle w:val="2"/>
      </w:pPr>
    </w:p>
    <w:p>
      <w:pPr>
        <w:pStyle w:val="16"/>
        <w:spacing w:line="240" w:lineRule="auto"/>
        <w:jc w:val="center"/>
        <w:rPr>
          <w:rFonts w:ascii="Times New Roman" w:hAnsi="Times New Roman" w:eastAsia="宋体"/>
          <w:b/>
          <w:bCs w:val="0"/>
          <w:sz w:val="32"/>
        </w:rPr>
      </w:pPr>
    </w:p>
    <w:p>
      <w:pPr>
        <w:pStyle w:val="16"/>
        <w:spacing w:line="240" w:lineRule="auto"/>
        <w:jc w:val="center"/>
        <w:rPr>
          <w:rFonts w:ascii="Times New Roman" w:hAnsi="Times New Roman" w:eastAsia="宋体"/>
          <w:b/>
          <w:bCs w:val="0"/>
          <w:sz w:val="32"/>
        </w:rPr>
      </w:pPr>
      <w:r>
        <w:rPr>
          <w:rFonts w:ascii="Times New Roman" w:hAnsi="Times New Roman" w:eastAsia="宋体"/>
          <w:b/>
          <w:bCs w:val="0"/>
          <w:sz w:val="32"/>
        </w:rPr>
        <w:t>第五章 规划实施保障措施</w:t>
      </w:r>
      <w:bookmarkEnd w:id="477"/>
    </w:p>
    <w:bookmarkEnd w:id="473"/>
    <w:bookmarkEnd w:id="474"/>
    <w:bookmarkEnd w:id="475"/>
    <w:p>
      <w:pPr>
        <w:pStyle w:val="4"/>
        <w:spacing w:beforeAutospacing="0" w:afterAutospacing="0"/>
        <w:ind w:firstLine="650" w:firstLineChars="200"/>
        <w:jc w:val="both"/>
        <w:rPr>
          <w:rFonts w:hint="default" w:ascii="Times New Roman" w:hAnsi="Times New Roman"/>
          <w:sz w:val="32"/>
          <w:szCs w:val="32"/>
        </w:rPr>
      </w:pPr>
      <w:bookmarkStart w:id="478" w:name="_Toc87956419"/>
      <w:bookmarkStart w:id="479" w:name="_Toc85815792"/>
      <w:bookmarkStart w:id="480" w:name="_Toc19499"/>
      <w:bookmarkStart w:id="481" w:name="_Toc96528586"/>
      <w:r>
        <w:rPr>
          <w:rFonts w:hint="default" w:ascii="Times New Roman" w:hAnsi="Times New Roman"/>
          <w:sz w:val="32"/>
          <w:szCs w:val="32"/>
        </w:rPr>
        <w:t>5.1强化组织实施</w:t>
      </w:r>
      <w:bookmarkEnd w:id="478"/>
      <w:bookmarkEnd w:id="479"/>
      <w:bookmarkEnd w:id="480"/>
      <w:bookmarkEnd w:id="481"/>
    </w:p>
    <w:p>
      <w:pPr>
        <w:ind w:firstLine="650" w:firstLineChars="200"/>
        <w:rPr>
          <w:sz w:val="32"/>
          <w:szCs w:val="32"/>
        </w:rPr>
      </w:pPr>
      <w:r>
        <w:rPr>
          <w:sz w:val="32"/>
          <w:szCs w:val="32"/>
        </w:rPr>
        <w:t>成品油零售加油站“十四五”发展规划既是规范成品油流通秩序、保证市场有效供应的基本指导性依据，也是依法维护投资者利益、减少投资损失的重要措施，要充分认识规划的重要性和必要性，严格遵照有关法律、法规规定，确保规划的各项目标任务落到实处。实施过程中，任何部门和个人未经法定程序无权变更规划中有关布点的规划内容，确需调整的，由重庆市商务委会同相关部门根据实际情况按照相关法定程序，对规划进行优化调整，报原审批部门批准。</w:t>
      </w:r>
    </w:p>
    <w:p>
      <w:pPr>
        <w:pStyle w:val="4"/>
        <w:spacing w:beforeAutospacing="0" w:afterAutospacing="0"/>
        <w:ind w:firstLine="650" w:firstLineChars="200"/>
        <w:jc w:val="both"/>
        <w:rPr>
          <w:rFonts w:hint="default" w:ascii="Times New Roman" w:hAnsi="Times New Roman"/>
          <w:sz w:val="32"/>
          <w:szCs w:val="32"/>
        </w:rPr>
      </w:pPr>
      <w:bookmarkStart w:id="482" w:name="_Toc87956420"/>
      <w:bookmarkStart w:id="483" w:name="_Toc5798"/>
      <w:bookmarkStart w:id="484" w:name="_Toc96528587"/>
      <w:bookmarkStart w:id="485" w:name="_Toc85815793"/>
      <w:r>
        <w:rPr>
          <w:rFonts w:hint="default" w:ascii="Times New Roman" w:hAnsi="Times New Roman"/>
          <w:sz w:val="32"/>
          <w:szCs w:val="32"/>
        </w:rPr>
        <w:t>5.2加强部门协作</w:t>
      </w:r>
      <w:bookmarkEnd w:id="482"/>
      <w:bookmarkEnd w:id="483"/>
      <w:bookmarkEnd w:id="484"/>
      <w:bookmarkEnd w:id="485"/>
    </w:p>
    <w:p>
      <w:pPr>
        <w:ind w:firstLine="650" w:firstLineChars="200"/>
        <w:rPr>
          <w:sz w:val="32"/>
          <w:szCs w:val="32"/>
        </w:rPr>
      </w:pPr>
      <w:r>
        <w:rPr>
          <w:sz w:val="32"/>
          <w:szCs w:val="32"/>
        </w:rPr>
        <w:t>加油站的建设和管理工作涉及的部门多，政策性强，各部门应加强领导，落实责任，团结协作，协调配合，形成合力。商务部门应加强与规资、住建、交通、应急、市场监管、环保、消防等部门的衔接沟通，建立健全推进规划实施的协调机制和分工合理、责任明确的工作机制，着力提升服务和管理能力，有效解决加油站建设过程中存在的困难和问题。加强与中石油重庆销售公司、中石化重庆石油分公司等单位的沟通，推进资源和数据共享，为规划的实施管理提供有效信息支撑。</w:t>
      </w:r>
    </w:p>
    <w:p>
      <w:pPr>
        <w:pStyle w:val="4"/>
        <w:spacing w:beforeAutospacing="0" w:afterAutospacing="0"/>
        <w:ind w:firstLine="650" w:firstLineChars="200"/>
        <w:jc w:val="both"/>
        <w:rPr>
          <w:rFonts w:hint="default" w:ascii="Times New Roman" w:hAnsi="Times New Roman"/>
          <w:sz w:val="32"/>
          <w:szCs w:val="32"/>
        </w:rPr>
      </w:pPr>
      <w:bookmarkStart w:id="486" w:name="_Toc87956421"/>
      <w:bookmarkStart w:id="487" w:name="_Toc7024"/>
      <w:bookmarkStart w:id="488" w:name="_Toc85815794"/>
      <w:bookmarkStart w:id="489" w:name="_Toc96528588"/>
      <w:r>
        <w:rPr>
          <w:rFonts w:hint="default" w:ascii="Times New Roman" w:hAnsi="Times New Roman"/>
          <w:sz w:val="32"/>
          <w:szCs w:val="32"/>
        </w:rPr>
        <w:t>5.3强化审批管理</w:t>
      </w:r>
      <w:bookmarkEnd w:id="486"/>
      <w:bookmarkEnd w:id="487"/>
      <w:bookmarkEnd w:id="488"/>
      <w:bookmarkEnd w:id="489"/>
    </w:p>
    <w:p>
      <w:pPr>
        <w:ind w:firstLine="650" w:firstLineChars="200"/>
        <w:rPr>
          <w:sz w:val="32"/>
          <w:szCs w:val="32"/>
        </w:rPr>
      </w:pPr>
      <w:r>
        <w:rPr>
          <w:sz w:val="32"/>
          <w:szCs w:val="32"/>
        </w:rPr>
        <w:t>认真贯彻落实《重庆市成品油市场管理实施办法》，严格按照有关程序审查申请成品油经营企业的资格和条件，保障新建加油站符合规划要求。积极支持具有稳定油源和相应规模的经营企业进入成品油行业，切实保障成品油市场供应。要严把项目审批关，杜绝争指标不建设、争指标慢建设、争指标乱建设的情况。加快政府职能转变，营造公平公正的市场竞争环境，推动成品油市场健康发展。</w:t>
      </w:r>
    </w:p>
    <w:p>
      <w:pPr>
        <w:pStyle w:val="4"/>
        <w:spacing w:beforeAutospacing="0" w:afterAutospacing="0"/>
        <w:ind w:firstLine="650" w:firstLineChars="200"/>
        <w:jc w:val="both"/>
        <w:rPr>
          <w:rFonts w:hint="default" w:ascii="Times New Roman" w:hAnsi="Times New Roman"/>
          <w:sz w:val="32"/>
          <w:szCs w:val="32"/>
        </w:rPr>
      </w:pPr>
      <w:bookmarkStart w:id="490" w:name="_Toc96528589"/>
      <w:bookmarkStart w:id="491" w:name="_Toc85815795"/>
      <w:bookmarkStart w:id="492" w:name="_Toc87956422"/>
      <w:bookmarkStart w:id="493" w:name="_Toc17232"/>
      <w:r>
        <w:rPr>
          <w:rFonts w:hint="default" w:ascii="Times New Roman" w:hAnsi="Times New Roman"/>
          <w:sz w:val="32"/>
          <w:szCs w:val="32"/>
        </w:rPr>
        <w:t>5.4完善体系监督</w:t>
      </w:r>
      <w:bookmarkEnd w:id="490"/>
      <w:bookmarkEnd w:id="491"/>
      <w:bookmarkEnd w:id="492"/>
      <w:bookmarkEnd w:id="493"/>
    </w:p>
    <w:p>
      <w:pPr>
        <w:ind w:firstLine="650" w:firstLineChars="200"/>
        <w:rPr>
          <w:sz w:val="32"/>
          <w:szCs w:val="32"/>
        </w:rPr>
      </w:pPr>
      <w:r>
        <w:rPr>
          <w:sz w:val="32"/>
          <w:szCs w:val="32"/>
        </w:rPr>
        <w:t>强化规划提出的发展目标的有效落实，对重要约束指标设置年度目标，组织规划实施中期评估，坚持放管结合，建立高效透明的能源规划实施监管体系，重点监管规划发展目标、改革措施和重大项目落实情况，及时发现并整改问题，确保规划落实到位。</w:t>
      </w:r>
    </w:p>
    <w:p>
      <w:pPr>
        <w:pStyle w:val="4"/>
        <w:spacing w:beforeAutospacing="0" w:afterAutospacing="0"/>
        <w:ind w:firstLine="650" w:firstLineChars="200"/>
        <w:jc w:val="both"/>
        <w:rPr>
          <w:rFonts w:hint="default" w:ascii="Times New Roman" w:hAnsi="Times New Roman"/>
          <w:sz w:val="32"/>
          <w:szCs w:val="32"/>
        </w:rPr>
      </w:pPr>
      <w:bookmarkStart w:id="494" w:name="_Toc96528590"/>
      <w:r>
        <w:rPr>
          <w:rFonts w:hint="default" w:ascii="Times New Roman" w:hAnsi="Times New Roman"/>
          <w:sz w:val="32"/>
          <w:szCs w:val="32"/>
        </w:rPr>
        <w:t>5.5深化体系改革</w:t>
      </w:r>
      <w:bookmarkEnd w:id="494"/>
    </w:p>
    <w:p>
      <w:pPr>
        <w:ind w:firstLine="650" w:firstLineChars="200"/>
        <w:rPr>
          <w:rFonts w:hint="eastAsia"/>
          <w:sz w:val="32"/>
          <w:szCs w:val="32"/>
          <w:lang w:eastAsia="zh-CN"/>
        </w:rPr>
      </w:pPr>
      <w:r>
        <w:rPr>
          <w:sz w:val="32"/>
          <w:szCs w:val="32"/>
        </w:rPr>
        <w:t>深化改革举措，继续优化加油站土地“招拍挂”出让方式，充分引入市场竞争机制，发挥加油站用地资源价值；利用5G、移动支付、大数据、云计算、物联网、AI等新技术整合优化成品油零售网络，搭建智慧化运行框架，提升加油站服务品质；利用加油站用地和成熟的加油站网络体系，抓住新能源的发展机遇，积极谋划产业转型升级，布局加气、充（换）电和加氢业务，推进综合能源站建设</w:t>
      </w:r>
      <w:r>
        <w:rPr>
          <w:rFonts w:hint="eastAsia"/>
          <w:sz w:val="32"/>
          <w:szCs w:val="32"/>
          <w:lang w:eastAsia="zh-CN"/>
        </w:rPr>
        <w:t>。</w:t>
      </w:r>
    </w:p>
    <w:p>
      <w:pPr>
        <w:pStyle w:val="2"/>
        <w:rPr>
          <w:rFonts w:hint="eastAsia"/>
          <w:sz w:val="32"/>
          <w:szCs w:val="32"/>
          <w:lang w:eastAsia="zh-CN"/>
        </w:rPr>
        <w:sectPr>
          <w:footerReference r:id="rId5" w:type="default"/>
          <w:pgSz w:w="11906" w:h="16838"/>
          <w:pgMar w:top="2098" w:right="1531" w:bottom="1984" w:left="1531" w:header="851" w:footer="1474" w:gutter="0"/>
          <w:pgNumType w:start="1"/>
          <w:cols w:space="0" w:num="1"/>
          <w:docGrid w:type="linesAndChars" w:linePitch="590" w:charSpace="1168"/>
        </w:sectPr>
      </w:pPr>
      <w:r>
        <w:rPr>
          <w:rFonts w:hint="eastAsia"/>
          <w:sz w:val="32"/>
          <w:szCs w:val="32"/>
          <w:lang w:val="en-US" w:eastAsia="zh-CN"/>
        </w:rPr>
        <w:t xml:space="preserve">   注：站点规划</w:t>
      </w:r>
      <w:r>
        <w:rPr>
          <w:rFonts w:hint="eastAsia"/>
          <w:sz w:val="32"/>
          <w:szCs w:val="32"/>
          <w:lang w:eastAsia="zh-CN"/>
        </w:rPr>
        <w:t>详见各区县公众信息网或信息公示平台</w:t>
      </w:r>
    </w:p>
    <w:p>
      <w:pPr>
        <w:pStyle w:val="25"/>
        <w:rPr>
          <w:rFonts w:hint="default" w:ascii="Times New Roman" w:hAnsi="Times New Roman"/>
        </w:rPr>
      </w:pPr>
    </w:p>
    <w:sectPr>
      <w:footerReference r:id="rId6" w:type="default"/>
      <w:pgSz w:w="16838" w:h="11906" w:orient="landscape"/>
      <w:pgMar w:top="1531" w:right="2098" w:bottom="1531" w:left="1984" w:header="851" w:footer="1474" w:gutter="0"/>
      <w:cols w:space="0" w:num="1"/>
      <w:docGrid w:type="linesAndChars" w:linePitch="590" w:charSpace="1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HorizontalSpacing w:val="105"/>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00C47DCE"/>
    <w:rsid w:val="003D11F6"/>
    <w:rsid w:val="00A17CB1"/>
    <w:rsid w:val="00C47DCE"/>
    <w:rsid w:val="019003DA"/>
    <w:rsid w:val="029A6ADC"/>
    <w:rsid w:val="03971DDB"/>
    <w:rsid w:val="04883974"/>
    <w:rsid w:val="052A5D4C"/>
    <w:rsid w:val="05495E9F"/>
    <w:rsid w:val="06BA55C4"/>
    <w:rsid w:val="0763365A"/>
    <w:rsid w:val="07E85389"/>
    <w:rsid w:val="089C689E"/>
    <w:rsid w:val="09645DDC"/>
    <w:rsid w:val="09B055D4"/>
    <w:rsid w:val="09F72116"/>
    <w:rsid w:val="0A710F6D"/>
    <w:rsid w:val="0B4F643D"/>
    <w:rsid w:val="0BBF6284"/>
    <w:rsid w:val="0BF45362"/>
    <w:rsid w:val="0C041A14"/>
    <w:rsid w:val="0C2129AF"/>
    <w:rsid w:val="0C7C4BB8"/>
    <w:rsid w:val="0D0650DB"/>
    <w:rsid w:val="0D1C53B0"/>
    <w:rsid w:val="0D817E25"/>
    <w:rsid w:val="0DAA59E5"/>
    <w:rsid w:val="0DFD5098"/>
    <w:rsid w:val="0E712C1D"/>
    <w:rsid w:val="0E75122E"/>
    <w:rsid w:val="0E7F43C6"/>
    <w:rsid w:val="105D71C3"/>
    <w:rsid w:val="10F20DC2"/>
    <w:rsid w:val="11A07006"/>
    <w:rsid w:val="11AC2567"/>
    <w:rsid w:val="121C7C1B"/>
    <w:rsid w:val="12C84ABF"/>
    <w:rsid w:val="1339779C"/>
    <w:rsid w:val="15241436"/>
    <w:rsid w:val="1533163C"/>
    <w:rsid w:val="15C21EEA"/>
    <w:rsid w:val="160C18DA"/>
    <w:rsid w:val="165C0833"/>
    <w:rsid w:val="172A08CA"/>
    <w:rsid w:val="17494210"/>
    <w:rsid w:val="17C03E49"/>
    <w:rsid w:val="186F3F18"/>
    <w:rsid w:val="18B21F51"/>
    <w:rsid w:val="199D1BB2"/>
    <w:rsid w:val="19F47D45"/>
    <w:rsid w:val="1A132F25"/>
    <w:rsid w:val="1A936E99"/>
    <w:rsid w:val="1A9C49FA"/>
    <w:rsid w:val="1AFC22C7"/>
    <w:rsid w:val="1B3A1E57"/>
    <w:rsid w:val="1B5F67BE"/>
    <w:rsid w:val="1BAE4BDC"/>
    <w:rsid w:val="1C590E2D"/>
    <w:rsid w:val="1C5F78A8"/>
    <w:rsid w:val="1CD64C99"/>
    <w:rsid w:val="1E042208"/>
    <w:rsid w:val="1E5C4B5C"/>
    <w:rsid w:val="1EBE4034"/>
    <w:rsid w:val="1F0A1807"/>
    <w:rsid w:val="1F215BB1"/>
    <w:rsid w:val="1FE64F8E"/>
    <w:rsid w:val="205F5F49"/>
    <w:rsid w:val="20A420FC"/>
    <w:rsid w:val="21DD49F9"/>
    <w:rsid w:val="220B18A7"/>
    <w:rsid w:val="221E36D7"/>
    <w:rsid w:val="223742CA"/>
    <w:rsid w:val="229379CF"/>
    <w:rsid w:val="22C91D3F"/>
    <w:rsid w:val="23D71225"/>
    <w:rsid w:val="23EB5668"/>
    <w:rsid w:val="23FC6DDD"/>
    <w:rsid w:val="24941069"/>
    <w:rsid w:val="24A418F7"/>
    <w:rsid w:val="24BC337C"/>
    <w:rsid w:val="2567525D"/>
    <w:rsid w:val="25DF25DC"/>
    <w:rsid w:val="262A46E6"/>
    <w:rsid w:val="263D7F9C"/>
    <w:rsid w:val="28951B9C"/>
    <w:rsid w:val="293258B4"/>
    <w:rsid w:val="297832D8"/>
    <w:rsid w:val="29992ADE"/>
    <w:rsid w:val="29D241D2"/>
    <w:rsid w:val="2CB50E1E"/>
    <w:rsid w:val="2CF477AB"/>
    <w:rsid w:val="2DD75229"/>
    <w:rsid w:val="2DE94067"/>
    <w:rsid w:val="2E7F4DEC"/>
    <w:rsid w:val="2EFD43C3"/>
    <w:rsid w:val="2F8D23E6"/>
    <w:rsid w:val="2FB35850"/>
    <w:rsid w:val="2FBA5753"/>
    <w:rsid w:val="2FEF251A"/>
    <w:rsid w:val="323D09B4"/>
    <w:rsid w:val="323F6A68"/>
    <w:rsid w:val="327876AA"/>
    <w:rsid w:val="338D2D0E"/>
    <w:rsid w:val="33B5040A"/>
    <w:rsid w:val="340343BB"/>
    <w:rsid w:val="3447500B"/>
    <w:rsid w:val="349314D4"/>
    <w:rsid w:val="350303E1"/>
    <w:rsid w:val="360B7BE2"/>
    <w:rsid w:val="36117A4E"/>
    <w:rsid w:val="36807E46"/>
    <w:rsid w:val="36964FB4"/>
    <w:rsid w:val="36EE4046"/>
    <w:rsid w:val="38C913E3"/>
    <w:rsid w:val="390B4877"/>
    <w:rsid w:val="39B7479B"/>
    <w:rsid w:val="39C0532C"/>
    <w:rsid w:val="3A1278E0"/>
    <w:rsid w:val="3A132FCE"/>
    <w:rsid w:val="3A546184"/>
    <w:rsid w:val="3A8F6F29"/>
    <w:rsid w:val="3ABA3861"/>
    <w:rsid w:val="3AD9348D"/>
    <w:rsid w:val="3B7F4ED4"/>
    <w:rsid w:val="3C216059"/>
    <w:rsid w:val="3C3103FA"/>
    <w:rsid w:val="3C4634F6"/>
    <w:rsid w:val="3DA153A2"/>
    <w:rsid w:val="3FBA64D7"/>
    <w:rsid w:val="3FEE7651"/>
    <w:rsid w:val="40535C10"/>
    <w:rsid w:val="422F03C4"/>
    <w:rsid w:val="43153703"/>
    <w:rsid w:val="43704F78"/>
    <w:rsid w:val="439B7E09"/>
    <w:rsid w:val="442F6987"/>
    <w:rsid w:val="445746EF"/>
    <w:rsid w:val="44A04B06"/>
    <w:rsid w:val="44A65AD3"/>
    <w:rsid w:val="452052BD"/>
    <w:rsid w:val="457A1A28"/>
    <w:rsid w:val="458110BE"/>
    <w:rsid w:val="458A17F8"/>
    <w:rsid w:val="4608366E"/>
    <w:rsid w:val="46896AE6"/>
    <w:rsid w:val="46D45B51"/>
    <w:rsid w:val="486D041B"/>
    <w:rsid w:val="48A15F64"/>
    <w:rsid w:val="49E92D71"/>
    <w:rsid w:val="4AA270E7"/>
    <w:rsid w:val="4C3629B0"/>
    <w:rsid w:val="4CAD4480"/>
    <w:rsid w:val="4CE84001"/>
    <w:rsid w:val="4DF926CA"/>
    <w:rsid w:val="4E9D2DB3"/>
    <w:rsid w:val="4F430E45"/>
    <w:rsid w:val="4FAD337D"/>
    <w:rsid w:val="514863BB"/>
    <w:rsid w:val="51497667"/>
    <w:rsid w:val="51701E13"/>
    <w:rsid w:val="51F20EE7"/>
    <w:rsid w:val="52E35F5A"/>
    <w:rsid w:val="538D75FC"/>
    <w:rsid w:val="54876F56"/>
    <w:rsid w:val="56C061CD"/>
    <w:rsid w:val="57B0162A"/>
    <w:rsid w:val="57B666EA"/>
    <w:rsid w:val="57D645E4"/>
    <w:rsid w:val="58243609"/>
    <w:rsid w:val="59D52EAA"/>
    <w:rsid w:val="5A7C36AB"/>
    <w:rsid w:val="5B7D5984"/>
    <w:rsid w:val="5DBF37EE"/>
    <w:rsid w:val="5DC02C4D"/>
    <w:rsid w:val="5EA02996"/>
    <w:rsid w:val="5F405396"/>
    <w:rsid w:val="61737B4E"/>
    <w:rsid w:val="62841544"/>
    <w:rsid w:val="62B45540"/>
    <w:rsid w:val="62D0791E"/>
    <w:rsid w:val="62D75F8B"/>
    <w:rsid w:val="62E912B5"/>
    <w:rsid w:val="6397478E"/>
    <w:rsid w:val="639F2981"/>
    <w:rsid w:val="652C5374"/>
    <w:rsid w:val="66393D79"/>
    <w:rsid w:val="663D78E2"/>
    <w:rsid w:val="67230E84"/>
    <w:rsid w:val="673D16FC"/>
    <w:rsid w:val="67EDEB4A"/>
    <w:rsid w:val="68EA0371"/>
    <w:rsid w:val="69946995"/>
    <w:rsid w:val="6A2C6CE6"/>
    <w:rsid w:val="6AAB4442"/>
    <w:rsid w:val="6ACB05E1"/>
    <w:rsid w:val="6B3F48D4"/>
    <w:rsid w:val="6B8D0BAD"/>
    <w:rsid w:val="6C0B3C0B"/>
    <w:rsid w:val="6C3B4725"/>
    <w:rsid w:val="6C7D70D8"/>
    <w:rsid w:val="6CEE5745"/>
    <w:rsid w:val="6DAF3D9F"/>
    <w:rsid w:val="6DBD7BD2"/>
    <w:rsid w:val="6EC27A27"/>
    <w:rsid w:val="6FB0439D"/>
    <w:rsid w:val="70534067"/>
    <w:rsid w:val="70840F3E"/>
    <w:rsid w:val="708A54CF"/>
    <w:rsid w:val="709223F2"/>
    <w:rsid w:val="71251614"/>
    <w:rsid w:val="716057A9"/>
    <w:rsid w:val="71D62688"/>
    <w:rsid w:val="723D30E2"/>
    <w:rsid w:val="72752E2E"/>
    <w:rsid w:val="740A6995"/>
    <w:rsid w:val="74C0108B"/>
    <w:rsid w:val="75411997"/>
    <w:rsid w:val="75C5585B"/>
    <w:rsid w:val="77894D58"/>
    <w:rsid w:val="778D0DD6"/>
    <w:rsid w:val="78241995"/>
    <w:rsid w:val="78695C3D"/>
    <w:rsid w:val="7A046CD3"/>
    <w:rsid w:val="7A1B2098"/>
    <w:rsid w:val="7A811DB9"/>
    <w:rsid w:val="7A9E6351"/>
    <w:rsid w:val="7ABD7DAA"/>
    <w:rsid w:val="7BD756DA"/>
    <w:rsid w:val="7BF706A3"/>
    <w:rsid w:val="7C446CB4"/>
    <w:rsid w:val="7C5F0C69"/>
    <w:rsid w:val="7CA72E57"/>
    <w:rsid w:val="7D447C6C"/>
    <w:rsid w:val="7DCE18C5"/>
    <w:rsid w:val="7E534F6E"/>
    <w:rsid w:val="7F9C243E"/>
    <w:rsid w:val="7FBE0F31"/>
    <w:rsid w:val="9DFA3D3F"/>
    <w:rsid w:val="A57FE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5">
    <w:name w:val="heading 2"/>
    <w:basedOn w:val="1"/>
    <w:next w:val="1"/>
    <w:unhideWhenUsed/>
    <w:qFormat/>
    <w:uiPriority w:val="0"/>
    <w:pPr>
      <w:keepNext/>
      <w:keepLines/>
      <w:spacing w:afterLines="50" w:line="360" w:lineRule="auto"/>
      <w:outlineLvl w:val="1"/>
    </w:pPr>
    <w:rPr>
      <w:rFonts w:ascii="Cambria" w:hAnsi="Cambria" w:eastAsia="黑体"/>
      <w:bCs/>
      <w:kern w:val="0"/>
      <w:sz w:val="30"/>
      <w:szCs w:val="32"/>
    </w:rPr>
  </w:style>
  <w:style w:type="paragraph" w:styleId="6">
    <w:name w:val="heading 5"/>
    <w:basedOn w:val="1"/>
    <w:next w:val="7"/>
    <w:unhideWhenUsed/>
    <w:qFormat/>
    <w:uiPriority w:val="0"/>
    <w:pPr>
      <w:keepNext/>
      <w:keepLines/>
      <w:spacing w:before="240" w:after="120"/>
      <w:jc w:val="left"/>
      <w:outlineLvl w:val="4"/>
    </w:pPr>
    <w:rPr>
      <w:b/>
      <w:bCs/>
      <w:sz w:val="28"/>
      <w:szCs w:val="28"/>
      <w:lang w:val="zh-CN"/>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7">
    <w:name w:val="Body Text"/>
    <w:basedOn w:val="1"/>
    <w:qFormat/>
    <w:uiPriority w:val="0"/>
    <w:pPr>
      <w:ind w:left="100" w:leftChars="100" w:right="100" w:rightChars="100"/>
    </w:pPr>
  </w:style>
  <w:style w:type="paragraph" w:styleId="8">
    <w:name w:val="index 8"/>
    <w:basedOn w:val="1"/>
    <w:next w:val="1"/>
    <w:qFormat/>
    <w:uiPriority w:val="0"/>
    <w:pPr>
      <w:ind w:left="2940"/>
    </w:pPr>
  </w:style>
  <w:style w:type="paragraph" w:styleId="9">
    <w:name w:val="Body Text Indent"/>
    <w:basedOn w:val="1"/>
    <w:qFormat/>
    <w:uiPriority w:val="0"/>
    <w:pPr>
      <w:ind w:firstLine="720"/>
    </w:pPr>
    <w:rPr>
      <w:rFonts w:ascii="仿宋_GB2312" w:eastAsia="仿宋_GB2312"/>
      <w:sz w:val="32"/>
    </w:rPr>
  </w:style>
  <w:style w:type="paragraph" w:styleId="10">
    <w:name w:val="Plain Text"/>
    <w:basedOn w:val="1"/>
    <w:next w:val="8"/>
    <w:qFormat/>
    <w:uiPriority w:val="0"/>
    <w:rPr>
      <w:rFonts w:ascii="宋体" w:hAnsi="Courier New" w:cs="Courier New"/>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pPr>
      <w:tabs>
        <w:tab w:val="right" w:leader="dot" w:pos="8296"/>
      </w:tabs>
      <w:spacing w:line="276" w:lineRule="auto"/>
    </w:pPr>
    <w:rPr>
      <w:rFonts w:eastAsia="黑体"/>
      <w:sz w:val="24"/>
    </w:rPr>
  </w:style>
  <w:style w:type="paragraph" w:styleId="13">
    <w:name w:val="toc 2"/>
    <w:basedOn w:val="1"/>
    <w:next w:val="1"/>
    <w:qFormat/>
    <w:uiPriority w:val="0"/>
    <w:pPr>
      <w:tabs>
        <w:tab w:val="right" w:leader="dot" w:pos="8296"/>
      </w:tabs>
      <w:spacing w:line="276" w:lineRule="auto"/>
      <w:ind w:left="200" w:leftChars="200"/>
    </w:pPr>
  </w:style>
  <w:style w:type="paragraph" w:styleId="1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15">
    <w:name w:val="Normal (Web)"/>
    <w:basedOn w:val="1"/>
    <w:qFormat/>
    <w:uiPriority w:val="0"/>
    <w:pPr>
      <w:jc w:val="left"/>
    </w:pPr>
    <w:rPr>
      <w:kern w:val="0"/>
      <w:sz w:val="24"/>
    </w:rPr>
  </w:style>
  <w:style w:type="paragraph" w:styleId="16">
    <w:name w:val="Title"/>
    <w:basedOn w:val="1"/>
    <w:next w:val="1"/>
    <w:qFormat/>
    <w:uiPriority w:val="0"/>
    <w:pPr>
      <w:spacing w:line="360" w:lineRule="auto"/>
      <w:jc w:val="left"/>
      <w:outlineLvl w:val="0"/>
    </w:pPr>
    <w:rPr>
      <w:rFonts w:ascii="Cambria" w:hAnsi="Cambria" w:eastAsia="黑体"/>
      <w:bCs/>
      <w:kern w:val="0"/>
      <w:sz w:val="28"/>
      <w:szCs w:val="32"/>
    </w:rPr>
  </w:style>
  <w:style w:type="paragraph" w:styleId="17">
    <w:name w:val="Body Text First Indent 2"/>
    <w:basedOn w:val="9"/>
    <w:qFormat/>
    <w:uiPriority w:val="0"/>
    <w:pPr>
      <w:spacing w:after="120"/>
      <w:ind w:left="420" w:leftChars="200" w:firstLine="420" w:firstLineChars="200"/>
    </w:pPr>
    <w:rPr>
      <w:rFonts w:ascii="Arial" w:hAnsi="Arial"/>
    </w:r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Emphasis"/>
    <w:basedOn w:val="20"/>
    <w:qFormat/>
    <w:uiPriority w:val="0"/>
  </w:style>
  <w:style w:type="character" w:styleId="24">
    <w:name w:val="Hyperlink"/>
    <w:basedOn w:val="20"/>
    <w:qFormat/>
    <w:uiPriority w:val="0"/>
    <w:rPr>
      <w:color w:val="000000"/>
      <w:sz w:val="24"/>
      <w:szCs w:val="24"/>
      <w:u w:val="none"/>
    </w:rPr>
  </w:style>
  <w:style w:type="paragraph" w:customStyle="1" w:styleId="25">
    <w:name w:val="Default"/>
    <w:next w:val="1"/>
    <w:unhideWhenUsed/>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26">
    <w:name w:val="UserStyle_0"/>
    <w:next w:val="1"/>
    <w:qFormat/>
    <w:uiPriority w:val="0"/>
    <w:pPr>
      <w:textAlignment w:val="baseline"/>
    </w:pPr>
    <w:rPr>
      <w:rFonts w:ascii="Arial" w:hAnsi="Arial" w:eastAsia="宋体" w:cs="Times New Roman"/>
      <w:color w:val="000000"/>
      <w:sz w:val="24"/>
      <w:szCs w:val="24"/>
      <w:lang w:val="en-US" w:eastAsia="zh-CN" w:bidi="ar-SA"/>
    </w:rPr>
  </w:style>
  <w:style w:type="character" w:customStyle="1" w:styleId="27">
    <w:name w:val="x-pager-totalrecords"/>
    <w:basedOn w:val="20"/>
    <w:qFormat/>
    <w:uiPriority w:val="0"/>
  </w:style>
  <w:style w:type="character" w:customStyle="1" w:styleId="28">
    <w:name w:val="x-pager-totalpage"/>
    <w:basedOn w:val="20"/>
    <w:qFormat/>
    <w:uiPriority w:val="0"/>
  </w:style>
  <w:style w:type="character" w:customStyle="1" w:styleId="29">
    <w:name w:val="mnico3"/>
    <w:basedOn w:val="20"/>
    <w:qFormat/>
    <w:uiPriority w:val="0"/>
  </w:style>
  <w:style w:type="character" w:customStyle="1" w:styleId="30">
    <w:name w:val="x-pager-page1"/>
    <w:basedOn w:val="20"/>
    <w:qFormat/>
    <w:uiPriority w:val="0"/>
  </w:style>
  <w:style w:type="character" w:customStyle="1" w:styleId="31">
    <w:name w:val="cke_colorbox"/>
    <w:basedOn w:val="20"/>
    <w:qFormat/>
    <w:uiPriority w:val="0"/>
    <w:rPr>
      <w:bdr w:val="single" w:color="808080" w:sz="6" w:space="0"/>
    </w:rPr>
  </w:style>
  <w:style w:type="character" w:customStyle="1" w:styleId="32">
    <w:name w:val="cke_colorbox1"/>
    <w:basedOn w:val="20"/>
    <w:qFormat/>
    <w:uiPriority w:val="0"/>
  </w:style>
  <w:style w:type="character" w:customStyle="1" w:styleId="33">
    <w:name w:val="cke_colorbox2"/>
    <w:basedOn w:val="20"/>
    <w:qFormat/>
    <w:uiPriority w:val="0"/>
  </w:style>
  <w:style w:type="character" w:customStyle="1" w:styleId="34">
    <w:name w:val="cke_colorbox3"/>
    <w:basedOn w:val="20"/>
    <w:qFormat/>
    <w:uiPriority w:val="0"/>
  </w:style>
  <w:style w:type="character" w:customStyle="1" w:styleId="35">
    <w:name w:val="x-pager-totalpage1"/>
    <w:basedOn w:val="20"/>
    <w:qFormat/>
    <w:uiPriority w:val="0"/>
  </w:style>
  <w:style w:type="character" w:customStyle="1" w:styleId="36">
    <w:name w:val="mnico8"/>
    <w:basedOn w:val="20"/>
    <w:qFormat/>
    <w:uiPriority w:val="0"/>
  </w:style>
  <w:style w:type="character" w:customStyle="1" w:styleId="37">
    <w:name w:val="toggle"/>
    <w:basedOn w:val="20"/>
    <w:qFormat/>
    <w:uiPriority w:val="0"/>
  </w:style>
  <w:style w:type="character" w:customStyle="1" w:styleId="38">
    <w:name w:val="icon"/>
    <w:basedOn w:val="20"/>
    <w:qFormat/>
    <w:uiPriority w:val="0"/>
  </w:style>
  <w:style w:type="character" w:customStyle="1" w:styleId="39">
    <w:name w:val="check"/>
    <w:basedOn w:val="20"/>
    <w:qFormat/>
    <w:uiPriority w:val="0"/>
  </w:style>
  <w:style w:type="character" w:customStyle="1" w:styleId="40">
    <w:name w:val="mnico13"/>
    <w:basedOn w:val="20"/>
    <w:qFormat/>
    <w:uiPriority w:val="0"/>
  </w:style>
  <w:style w:type="character" w:customStyle="1" w:styleId="41">
    <w:name w:val="mnico15"/>
    <w:basedOn w:val="20"/>
    <w:qFormat/>
    <w:uiPriority w:val="0"/>
  </w:style>
  <w:style w:type="character" w:customStyle="1" w:styleId="42">
    <w:name w:val="mnico7"/>
    <w:basedOn w:val="20"/>
    <w:qFormat/>
    <w:uiPriority w:val="0"/>
  </w:style>
  <w:style w:type="character" w:customStyle="1" w:styleId="43">
    <w:name w:val="mnico4"/>
    <w:basedOn w:val="20"/>
    <w:qFormat/>
    <w:uiPriority w:val="0"/>
  </w:style>
  <w:style w:type="character" w:customStyle="1" w:styleId="44">
    <w:name w:val="mnico1"/>
    <w:basedOn w:val="20"/>
    <w:qFormat/>
    <w:uiPriority w:val="0"/>
  </w:style>
  <w:style w:type="character" w:customStyle="1" w:styleId="45">
    <w:name w:val="mnico2"/>
    <w:basedOn w:val="20"/>
    <w:qFormat/>
    <w:uiPriority w:val="0"/>
  </w:style>
  <w:style w:type="character" w:customStyle="1" w:styleId="46">
    <w:name w:val="mnico5"/>
    <w:basedOn w:val="20"/>
    <w:qFormat/>
    <w:uiPriority w:val="0"/>
  </w:style>
  <w:style w:type="character" w:customStyle="1" w:styleId="47">
    <w:name w:val="mnico6"/>
    <w:basedOn w:val="20"/>
    <w:qFormat/>
    <w:uiPriority w:val="0"/>
  </w:style>
  <w:style w:type="character" w:customStyle="1" w:styleId="48">
    <w:name w:val="mnico9"/>
    <w:basedOn w:val="20"/>
    <w:qFormat/>
    <w:uiPriority w:val="0"/>
  </w:style>
  <w:style w:type="character" w:customStyle="1" w:styleId="49">
    <w:name w:val="mnico10"/>
    <w:basedOn w:val="20"/>
    <w:qFormat/>
    <w:uiPriority w:val="0"/>
  </w:style>
  <w:style w:type="character" w:customStyle="1" w:styleId="50">
    <w:name w:val="mnico11"/>
    <w:basedOn w:val="20"/>
    <w:qFormat/>
    <w:uiPriority w:val="0"/>
  </w:style>
  <w:style w:type="character" w:customStyle="1" w:styleId="51">
    <w:name w:val="mnico12"/>
    <w:basedOn w:val="20"/>
    <w:qFormat/>
    <w:uiPriority w:val="0"/>
  </w:style>
  <w:style w:type="character" w:customStyle="1" w:styleId="52">
    <w:name w:val="mnico14"/>
    <w:basedOn w:val="20"/>
    <w:qFormat/>
    <w:uiPriority w:val="0"/>
  </w:style>
  <w:style w:type="character" w:customStyle="1" w:styleId="53">
    <w:name w:val="mnico16"/>
    <w:basedOn w:val="20"/>
    <w:qFormat/>
    <w:uiPriority w:val="0"/>
  </w:style>
  <w:style w:type="character" w:customStyle="1" w:styleId="54">
    <w:name w:val="mnico17"/>
    <w:basedOn w:val="20"/>
    <w:qFormat/>
    <w:uiPriority w:val="0"/>
  </w:style>
  <w:style w:type="character" w:customStyle="1" w:styleId="55">
    <w:name w:val="mnico18"/>
    <w:basedOn w:val="20"/>
    <w:qFormat/>
    <w:uiPriority w:val="0"/>
  </w:style>
  <w:style w:type="character" w:customStyle="1" w:styleId="56">
    <w:name w:val="mnico19"/>
    <w:basedOn w:val="20"/>
    <w:qFormat/>
    <w:uiPriority w:val="0"/>
  </w:style>
  <w:style w:type="character" w:customStyle="1" w:styleId="57">
    <w:name w:val="mnico20"/>
    <w:basedOn w:val="20"/>
    <w:qFormat/>
    <w:uiPriority w:val="0"/>
  </w:style>
  <w:style w:type="character" w:customStyle="1" w:styleId="58">
    <w:name w:val="mnico21"/>
    <w:basedOn w:val="20"/>
    <w:qFormat/>
    <w:uiPriority w:val="0"/>
  </w:style>
  <w:style w:type="character" w:customStyle="1" w:styleId="59">
    <w:name w:val="x-button-icon"/>
    <w:basedOn w:val="20"/>
    <w:qFormat/>
    <w:uiPriority w:val="0"/>
  </w:style>
  <w:style w:type="character" w:customStyle="1" w:styleId="60">
    <w:name w:val="x-pager-page"/>
    <w:basedOn w:val="20"/>
    <w:qFormat/>
    <w:uiPriority w:val="0"/>
  </w:style>
  <w:style w:type="character" w:customStyle="1" w:styleId="61">
    <w:name w:val="person"/>
    <w:basedOn w:val="20"/>
    <w:qFormat/>
    <w:uiPriority w:val="0"/>
    <w:rPr>
      <w:b/>
      <w:color w:val="4183D8"/>
    </w:rPr>
  </w:style>
  <w:style w:type="character" w:customStyle="1" w:styleId="62">
    <w:name w:val="data"/>
    <w:basedOn w:val="20"/>
    <w:qFormat/>
    <w:uiPriority w:val="0"/>
    <w:rPr>
      <w:b/>
      <w:color w:val="AAAAAA"/>
      <w:sz w:val="24"/>
      <w:szCs w:val="24"/>
    </w:rPr>
  </w:style>
  <w:style w:type="character" w:customStyle="1" w:styleId="63">
    <w:name w:val="mname"/>
    <w:basedOn w:val="20"/>
    <w:qFormat/>
    <w:uiPriority w:val="0"/>
    <w:rPr>
      <w:color w:val="333333"/>
    </w:rPr>
  </w:style>
  <w:style w:type="character" w:customStyle="1" w:styleId="64">
    <w:name w:val="blue2"/>
    <w:basedOn w:val="20"/>
    <w:qFormat/>
    <w:uiPriority w:val="0"/>
    <w:rPr>
      <w:color w:val="5E8FCB"/>
    </w:rPr>
  </w:style>
  <w:style w:type="character" w:customStyle="1" w:styleId="65">
    <w:name w:val="cke_path_empty2"/>
    <w:basedOn w:val="20"/>
    <w:qFormat/>
    <w:uiPriority w:val="0"/>
    <w:rPr>
      <w:b/>
      <w:color w:val="484848"/>
      <w:sz w:val="16"/>
      <w:szCs w:val="16"/>
      <w:u w:val="none"/>
    </w:rPr>
  </w:style>
  <w:style w:type="character" w:customStyle="1" w:styleId="66">
    <w:name w:val="cke_notification_progress"/>
    <w:basedOn w:val="20"/>
    <w:qFormat/>
    <w:uiPriority w:val="0"/>
    <w:rPr>
      <w:shd w:val="clear" w:color="auto" w:fill="0F74A8"/>
    </w:rPr>
  </w:style>
  <w:style w:type="paragraph" w:customStyle="1" w:styleId="67">
    <w:name w:val="D标题5"/>
    <w:basedOn w:val="6"/>
    <w:next w:val="68"/>
    <w:qFormat/>
    <w:uiPriority w:val="0"/>
    <w:pPr>
      <w:spacing w:before="100" w:beforeAutospacing="1" w:after="100" w:afterAutospacing="1"/>
      <w:ind w:hanging="1008"/>
    </w:pPr>
    <w:rPr>
      <w:rFonts w:eastAsia="黑体"/>
      <w:bCs w:val="0"/>
      <w:szCs w:val="20"/>
    </w:rPr>
  </w:style>
  <w:style w:type="paragraph" w:customStyle="1" w:styleId="68">
    <w:name w:val="D正文"/>
    <w:basedOn w:val="17"/>
    <w:qFormat/>
    <w:uiPriority w:val="0"/>
    <w:pPr>
      <w:widowControl/>
      <w:spacing w:before="100" w:beforeAutospacing="1" w:after="100" w:afterAutospacing="1"/>
      <w:ind w:left="0" w:leftChars="0"/>
      <w:jc w:val="left"/>
    </w:pPr>
  </w:style>
  <w:style w:type="table" w:customStyle="1" w:styleId="69">
    <w:name w:val="Table Normal"/>
    <w:unhideWhenUsed/>
    <w:qFormat/>
    <w:uiPriority w:val="0"/>
    <w:tblPr>
      <w:tblCellMar>
        <w:top w:w="0" w:type="dxa"/>
        <w:left w:w="0" w:type="dxa"/>
        <w:bottom w:w="0" w:type="dxa"/>
        <w:right w:w="0" w:type="dxa"/>
      </w:tblCellMar>
    </w:tblPr>
  </w:style>
  <w:style w:type="paragraph" w:customStyle="1" w:styleId="70">
    <w:name w:val="_Style 1"/>
    <w:basedOn w:val="1"/>
    <w:qFormat/>
    <w:uiPriority w:val="0"/>
    <w:pPr>
      <w:ind w:firstLine="420" w:firstLineChars="200"/>
    </w:pPr>
  </w:style>
  <w:style w:type="paragraph" w:customStyle="1" w:styleId="71">
    <w:name w:val="_Style 6"/>
    <w:basedOn w:val="4"/>
    <w:next w:val="1"/>
    <w:qFormat/>
    <w:uiPriority w:val="39"/>
    <w:pPr>
      <w:widowControl/>
      <w:spacing w:before="480" w:line="276" w:lineRule="auto"/>
      <w:outlineLvl w:val="9"/>
    </w:pPr>
    <w:rPr>
      <w:rFonts w:ascii="等线 Light" w:hAnsi="等线 Light" w:eastAsia="等线 Light"/>
      <w:color w:val="2F5496"/>
      <w:kern w:val="0"/>
      <w:sz w:val="28"/>
      <w:szCs w:val="28"/>
    </w:rPr>
  </w:style>
  <w:style w:type="paragraph" w:customStyle="1" w:styleId="72">
    <w:name w:val="Table Paragraph"/>
    <w:basedOn w:val="1"/>
    <w:qFormat/>
    <w:uiPriority w:val="1"/>
    <w:pPr>
      <w:autoSpaceDE w:val="0"/>
      <w:autoSpaceDN w:val="0"/>
      <w:jc w:val="left"/>
    </w:pPr>
    <w:rPr>
      <w:rFonts w:ascii="宋体" w:hAnsi="宋体" w:cs="宋体"/>
      <w:kern w:val="0"/>
      <w:sz w:val="22"/>
      <w:lang w:eastAsia="en-US"/>
    </w:rPr>
  </w:style>
  <w:style w:type="character" w:customStyle="1" w:styleId="73">
    <w:name w:val="font31"/>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13853</Words>
  <Characters>78968</Characters>
  <Lines>658</Lines>
  <Paragraphs>185</Paragraphs>
  <TotalTime>1</TotalTime>
  <ScaleCrop>false</ScaleCrop>
  <LinksUpToDate>false</LinksUpToDate>
  <CharactersWithSpaces>92636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hp</dc:creator>
  <cp:lastModifiedBy>追梦人</cp:lastModifiedBy>
  <cp:lastPrinted>2022-04-22T21:53:00Z</cp:lastPrinted>
  <dcterms:modified xsi:type="dcterms:W3CDTF">2023-12-11T23:35:57Z</dcterms:modified>
  <dc:title>重庆市成品油零售加油站“十四五”发展规划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F182C29D85C142D5A50E4DCE39F40706_13</vt:lpwstr>
  </property>
</Properties>
</file>